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eastAsia="zh-CN"/>
        </w:rPr>
      </w:pPr>
      <w:r>
        <w:rPr>
          <w:rFonts w:hint="eastAsia" w:eastAsiaTheme="minorEastAsia"/>
          <w:lang w:eastAsia="zh-CN"/>
        </w:rPr>
        <w:drawing>
          <wp:inline distT="0" distB="0" distL="114300" distR="114300">
            <wp:extent cx="4109720" cy="1016000"/>
            <wp:effectExtent l="0" t="0" r="5080" b="12700"/>
            <wp:docPr id="15" name="图片 15" descr="标准校徽、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标准校徽、校名"/>
                    <pic:cNvPicPr>
                      <a:picLocks noChangeAspect="1"/>
                    </pic:cNvPicPr>
                  </pic:nvPicPr>
                  <pic:blipFill>
                    <a:blip r:embed="rId6"/>
                    <a:stretch>
                      <a:fillRect/>
                    </a:stretch>
                  </pic:blipFill>
                  <pic:spPr>
                    <a:xfrm>
                      <a:off x="0" y="0"/>
                      <a:ext cx="4109720" cy="1016000"/>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auto"/>
        <w:rPr>
          <w:rFonts w:hint="eastAsia" w:ascii="华文中宋" w:hAnsi="华文中宋" w:eastAsia="华文中宋" w:cs="华文中宋"/>
          <w:b/>
          <w:bCs/>
          <w:color w:val="000000"/>
          <w:kern w:val="0"/>
          <w:sz w:val="72"/>
          <w:szCs w:val="72"/>
          <w:lang w:val="en-US" w:eastAsia="zh-CN" w:bidi="ar"/>
        </w:rPr>
      </w:pPr>
      <w:r>
        <w:rPr>
          <w:rFonts w:hint="eastAsia" w:ascii="华文中宋" w:hAnsi="华文中宋" w:eastAsia="华文中宋" w:cs="华文中宋"/>
          <w:b/>
          <w:bCs/>
          <w:color w:val="000000"/>
          <w:kern w:val="0"/>
          <w:sz w:val="72"/>
          <w:szCs w:val="72"/>
          <w:lang w:val="en-US" w:eastAsia="zh-CN" w:bidi="ar"/>
        </w:rPr>
        <w:t>现代物流管理专业</w:t>
      </w:r>
    </w:p>
    <w:p>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auto"/>
        <w:rPr>
          <w:rFonts w:hint="eastAsia" w:ascii="华文中宋" w:hAnsi="华文中宋" w:eastAsia="华文中宋" w:cs="华文中宋"/>
          <w:b/>
          <w:bCs/>
          <w:color w:val="000000"/>
          <w:kern w:val="0"/>
          <w:sz w:val="72"/>
          <w:szCs w:val="72"/>
          <w:lang w:val="en-US" w:eastAsia="zh-CN" w:bidi="ar"/>
        </w:rPr>
      </w:pPr>
      <w:r>
        <w:rPr>
          <w:rFonts w:hint="eastAsia" w:ascii="华文中宋" w:hAnsi="华文中宋" w:eastAsia="华文中宋" w:cs="华文中宋"/>
          <w:b/>
          <w:bCs/>
          <w:color w:val="000000"/>
          <w:kern w:val="0"/>
          <w:sz w:val="72"/>
          <w:szCs w:val="72"/>
          <w:lang w:val="en-US" w:eastAsia="zh-CN" w:bidi="ar"/>
        </w:rPr>
        <w:t>人 才 培 养 方 案</w:t>
      </w:r>
    </w:p>
    <w:p>
      <w:pPr>
        <w:jc w:val="center"/>
        <w:rPr>
          <w:rFonts w:hint="eastAsia" w:eastAsiaTheme="minorEastAsia"/>
          <w:lang w:eastAsia="zh-CN"/>
        </w:rPr>
      </w:pPr>
      <w:r>
        <w:rPr>
          <w:rFonts w:hint="eastAsia" w:ascii="Times New Roman" w:hAnsi="Times New Roman" w:eastAsia="华文中宋" w:cs="Times New Roman"/>
          <w:color w:val="000000"/>
          <w:kern w:val="0"/>
          <w:sz w:val="48"/>
          <w:szCs w:val="48"/>
          <w:lang w:val="en-US" w:eastAsia="zh-CN" w:bidi="ar"/>
        </w:rPr>
        <w:t>（</w:t>
      </w:r>
      <w:r>
        <w:rPr>
          <w:rFonts w:hint="default" w:ascii="Times New Roman" w:hAnsi="Times New Roman" w:eastAsia="华文中宋" w:cs="Times New Roman"/>
          <w:color w:val="000000"/>
          <w:kern w:val="0"/>
          <w:sz w:val="48"/>
          <w:szCs w:val="48"/>
          <w:lang w:val="en-US" w:eastAsia="zh-CN" w:bidi="ar"/>
        </w:rPr>
        <w:t>2024</w:t>
      </w:r>
      <w:r>
        <w:rPr>
          <w:rFonts w:hint="eastAsia" w:ascii="华文中宋" w:hAnsi="华文中宋" w:eastAsia="华文中宋" w:cs="华文中宋"/>
          <w:color w:val="000000"/>
          <w:kern w:val="0"/>
          <w:sz w:val="48"/>
          <w:szCs w:val="48"/>
          <w:lang w:val="en-US" w:eastAsia="zh-CN" w:bidi="ar"/>
        </w:rPr>
        <w:t xml:space="preserve"> 级）</w:t>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keepNext w:val="0"/>
        <w:keepLines w:val="0"/>
        <w:pageBreakBefore w:val="0"/>
        <w:widowControl/>
        <w:suppressLineNumbers w:val="0"/>
        <w:kinsoku/>
        <w:wordWrap/>
        <w:overflowPunct/>
        <w:topLinePunct w:val="0"/>
        <w:autoSpaceDE/>
        <w:autoSpaceDN/>
        <w:bidi w:val="0"/>
        <w:adjustRightInd/>
        <w:snapToGrid/>
        <w:spacing w:line="800" w:lineRule="exact"/>
        <w:ind w:firstLine="1446" w:firstLineChars="400"/>
        <w:jc w:val="left"/>
        <w:textAlignment w:val="auto"/>
        <w:rPr>
          <w:rFonts w:hint="default"/>
          <w:sz w:val="18"/>
          <w:szCs w:val="21"/>
          <w:lang w:val="en-US"/>
        </w:rPr>
      </w:pPr>
      <w:r>
        <w:rPr>
          <w:rFonts w:hint="eastAsia" w:ascii="黑体" w:hAnsi="黑体" w:eastAsia="黑体" w:cs="黑体"/>
          <w:b/>
          <w:bCs/>
          <w:color w:val="000000"/>
          <w:kern w:val="0"/>
          <w:sz w:val="36"/>
          <w:szCs w:val="36"/>
          <w:lang w:val="en-US" w:eastAsia="zh-CN" w:bidi="ar"/>
        </w:rPr>
        <w:t>制定小组成员</w:t>
      </w:r>
      <w:r>
        <w:rPr>
          <w:rFonts w:hint="eastAsia" w:ascii="宋体" w:hAnsi="宋体" w:eastAsia="宋体" w:cs="宋体"/>
          <w:b/>
          <w:bCs/>
          <w:color w:val="000000"/>
          <w:kern w:val="0"/>
          <w:sz w:val="36"/>
          <w:szCs w:val="36"/>
          <w:lang w:val="en-US" w:eastAsia="zh-CN" w:bidi="ar"/>
        </w:rPr>
        <w:t>：王中林 孙铫</w:t>
      </w:r>
      <w:r>
        <w:rPr>
          <w:rFonts w:hint="eastAsia" w:ascii="宋体" w:hAnsi="宋体" w:cs="宋体"/>
          <w:b/>
          <w:bCs/>
          <w:color w:val="000000"/>
          <w:kern w:val="0"/>
          <w:sz w:val="36"/>
          <w:szCs w:val="36"/>
          <w:lang w:val="en-US" w:eastAsia="zh-CN" w:bidi="ar"/>
        </w:rPr>
        <w:t xml:space="preserve"> </w:t>
      </w:r>
      <w:r>
        <w:rPr>
          <w:rFonts w:hint="eastAsia" w:ascii="宋体" w:hAnsi="宋体" w:eastAsia="宋体" w:cs="宋体"/>
          <w:b/>
          <w:bCs/>
          <w:color w:val="000000"/>
          <w:kern w:val="0"/>
          <w:sz w:val="36"/>
          <w:szCs w:val="36"/>
          <w:lang w:val="en-US" w:eastAsia="zh-CN" w:bidi="ar"/>
        </w:rPr>
        <w:t>明微 徐业勤</w:t>
      </w:r>
    </w:p>
    <w:p>
      <w:pPr>
        <w:keepNext w:val="0"/>
        <w:keepLines w:val="0"/>
        <w:pageBreakBefore w:val="0"/>
        <w:widowControl/>
        <w:suppressLineNumbers w:val="0"/>
        <w:kinsoku/>
        <w:wordWrap/>
        <w:overflowPunct/>
        <w:topLinePunct w:val="0"/>
        <w:autoSpaceDE/>
        <w:autoSpaceDN/>
        <w:bidi w:val="0"/>
        <w:adjustRightInd/>
        <w:snapToGrid/>
        <w:spacing w:line="800" w:lineRule="exact"/>
        <w:ind w:firstLine="1582" w:firstLineChars="300"/>
        <w:jc w:val="left"/>
        <w:textAlignment w:val="auto"/>
        <w:rPr>
          <w:rFonts w:hint="default"/>
          <w:b w:val="0"/>
          <w:bCs w:val="0"/>
          <w:sz w:val="18"/>
          <w:szCs w:val="21"/>
          <w:lang w:val="en-US"/>
        </w:rPr>
      </w:pPr>
      <w:r>
        <w:rPr>
          <w:rFonts w:hint="eastAsia" w:ascii="黑体" w:hAnsi="黑体" w:eastAsia="黑体" w:cs="黑体"/>
          <w:b/>
          <w:bCs/>
          <w:color w:val="000000"/>
          <w:spacing w:val="83"/>
          <w:kern w:val="0"/>
          <w:sz w:val="36"/>
          <w:szCs w:val="36"/>
          <w:fitText w:val="2634" w:id="184362794"/>
          <w:lang w:val="en-US" w:eastAsia="zh-CN" w:bidi="ar"/>
        </w:rPr>
        <w:t>审 核 人</w:t>
      </w:r>
      <w:r>
        <w:rPr>
          <w:rFonts w:hint="eastAsia" w:ascii="宋体" w:hAnsi="宋体" w:eastAsia="宋体" w:cs="宋体"/>
          <w:b/>
          <w:bCs/>
          <w:color w:val="000000"/>
          <w:spacing w:val="2"/>
          <w:kern w:val="0"/>
          <w:sz w:val="36"/>
          <w:szCs w:val="36"/>
          <w:fitText w:val="2634" w:id="184362794"/>
          <w:lang w:val="en-US" w:eastAsia="zh-CN" w:bidi="ar"/>
        </w:rPr>
        <w:t>：</w:t>
      </w:r>
      <w:r>
        <w:rPr>
          <w:rFonts w:hint="eastAsia" w:ascii="宋体" w:hAnsi="宋体" w:eastAsia="宋体" w:cs="宋体"/>
          <w:b/>
          <w:bCs/>
          <w:color w:val="000000"/>
          <w:kern w:val="0"/>
          <w:sz w:val="36"/>
          <w:szCs w:val="36"/>
          <w:lang w:val="en-US" w:eastAsia="zh-CN" w:bidi="ar"/>
        </w:rPr>
        <w:t>易玉婷 陆建阳</w:t>
      </w:r>
    </w:p>
    <w:p>
      <w:pPr>
        <w:keepNext w:val="0"/>
        <w:keepLines w:val="0"/>
        <w:widowControl/>
        <w:suppressLineNumbers w:val="0"/>
        <w:ind w:firstLine="2158" w:firstLineChars="500"/>
        <w:jc w:val="left"/>
        <w:rPr>
          <w:rFonts w:hint="eastAsia" w:ascii="宋体" w:hAnsi="宋体" w:eastAsia="宋体" w:cs="宋体"/>
          <w:b/>
          <w:bCs/>
          <w:color w:val="000000"/>
          <w:kern w:val="0"/>
          <w:sz w:val="43"/>
          <w:szCs w:val="43"/>
          <w:lang w:val="en-US" w:eastAsia="zh-CN" w:bidi="ar"/>
        </w:rPr>
      </w:pPr>
    </w:p>
    <w:p>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pPr>
        <w:keepNext w:val="0"/>
        <w:keepLines w:val="0"/>
        <w:widowControl/>
        <w:suppressLineNumbers w:val="0"/>
        <w:jc w:val="center"/>
        <w:rPr>
          <w:rFonts w:hint="default"/>
          <w:sz w:val="28"/>
          <w:szCs w:val="36"/>
          <w:lang w:val="en-US"/>
        </w:rPr>
      </w:pPr>
      <w:r>
        <w:rPr>
          <w:rFonts w:hint="eastAsia" w:ascii="宋体" w:hAnsi="宋体" w:eastAsia="宋体" w:cs="宋体"/>
          <w:b/>
          <w:bCs/>
          <w:color w:val="000000"/>
          <w:kern w:val="0"/>
          <w:sz w:val="43"/>
          <w:szCs w:val="43"/>
          <w:lang w:val="en-US" w:eastAsia="zh-CN" w:bidi="ar"/>
        </w:rPr>
        <w:t>二○二四年</w:t>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b/>
          <w:bCs w:val="0"/>
          <w:caps w:val="0"/>
          <w:kern w:val="24"/>
          <w:sz w:val="36"/>
          <w:szCs w:val="32"/>
        </w:rPr>
      </w:pP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b/>
          <w:bCs w:val="0"/>
          <w:caps w:val="0"/>
          <w:kern w:val="24"/>
          <w:sz w:val="36"/>
          <w:szCs w:val="32"/>
        </w:rPr>
      </w:pP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b/>
          <w:bCs w:val="0"/>
          <w:caps w:val="0"/>
          <w:kern w:val="24"/>
          <w:sz w:val="36"/>
          <w:szCs w:val="32"/>
        </w:rPr>
      </w:pPr>
      <w:r>
        <w:rPr>
          <w:rFonts w:hint="eastAsia" w:ascii="Times New Roman" w:hAnsi="Times New Roman"/>
          <w:b/>
          <w:bCs w:val="0"/>
          <w:caps w:val="0"/>
          <w:kern w:val="24"/>
          <w:sz w:val="36"/>
          <w:szCs w:val="32"/>
        </w:rPr>
        <w:t>目  录</w:t>
      </w:r>
    </w:p>
    <w:sdt>
      <w:sdtPr>
        <w:rPr>
          <w:rFonts w:ascii="宋体" w:hAnsi="宋体" w:eastAsia="宋体" w:cs="Times New Roman"/>
          <w:kern w:val="2"/>
          <w:sz w:val="32"/>
          <w:szCs w:val="36"/>
          <w:lang w:val="en-US" w:eastAsia="zh-CN" w:bidi="ar-SA"/>
        </w:rPr>
        <w:id w:val="147477142"/>
        <w15:color w:val="DBDBDB"/>
        <w:docPartObj>
          <w:docPartGallery w:val="Table of Contents"/>
          <w:docPartUnique/>
        </w:docPartObj>
      </w:sdtPr>
      <w:sdtEndPr>
        <w:rPr>
          <w:rFonts w:ascii="Calibri" w:hAnsi="Calibri" w:eastAsia="宋体" w:cs="Times New Roman"/>
          <w:kern w:val="24"/>
          <w:sz w:val="21"/>
          <w:szCs w:val="36"/>
          <w:lang w:val="en-US" w:eastAsia="zh-CN" w:bidi="ar-SA"/>
        </w:rPr>
      </w:sdtEndPr>
      <w:sdtContent>
        <w:p>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4"/>
              <w:rFonts w:hint="default" w:ascii="Times New Roman" w:hAnsi="Times New Roman" w:eastAsia="宋体" w:cs="Times New Roman"/>
              <w:b w:val="0"/>
              <w:bCs/>
              <w:caps w:val="0"/>
              <w:color w:val="auto"/>
              <w:kern w:val="0"/>
              <w:sz w:val="24"/>
              <w:szCs w:val="24"/>
            </w:rPr>
          </w:pP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TOC \o "1-1" \h \u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HYPERLINK \l _Toc17748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一、专业名称及专业代码</w:t>
          </w:r>
          <w:r>
            <w:rPr>
              <w:rStyle w:val="14"/>
              <w:rFonts w:hint="default" w:ascii="Times New Roman" w:hAnsi="Times New Roman" w:eastAsia="宋体" w:cs="Times New Roman"/>
              <w:b w:val="0"/>
              <w:bCs/>
              <w:caps w:val="0"/>
              <w:color w:val="auto"/>
              <w:kern w:val="0"/>
              <w:sz w:val="24"/>
              <w:szCs w:val="24"/>
              <w:lang w:val="en-US" w:eastAsia="zh-CN"/>
            </w:rPr>
            <w:tab/>
          </w: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PAGEREF _Toc17748 \h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1</w:t>
          </w:r>
          <w:r>
            <w:rPr>
              <w:rStyle w:val="14"/>
              <w:rFonts w:hint="default" w:ascii="Times New Roman" w:hAnsi="Times New Roman" w:eastAsia="宋体" w:cs="Times New Roman"/>
              <w:b w:val="0"/>
              <w:bCs/>
              <w:caps w:val="0"/>
              <w:color w:val="auto"/>
              <w:kern w:val="0"/>
              <w:sz w:val="24"/>
              <w:szCs w:val="24"/>
            </w:rPr>
            <w:fldChar w:fldCharType="end"/>
          </w:r>
          <w:r>
            <w:rPr>
              <w:rStyle w:val="14"/>
              <w:rFonts w:hint="default" w:ascii="Times New Roman" w:hAnsi="Times New Roman" w:eastAsia="宋体" w:cs="Times New Roman"/>
              <w:b w:val="0"/>
              <w:bCs/>
              <w:caps w:val="0"/>
              <w:color w:val="auto"/>
              <w:kern w:val="0"/>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4"/>
              <w:rFonts w:hint="default" w:ascii="Times New Roman" w:hAnsi="Times New Roman" w:eastAsia="宋体" w:cs="Times New Roman"/>
              <w:b w:val="0"/>
              <w:bCs/>
              <w:caps w:val="0"/>
              <w:color w:val="auto"/>
              <w:kern w:val="0"/>
              <w:sz w:val="24"/>
              <w:szCs w:val="24"/>
            </w:rPr>
          </w:pP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HYPERLINK \l _Toc28636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二、入学要求</w:t>
          </w:r>
          <w:r>
            <w:rPr>
              <w:rStyle w:val="14"/>
              <w:rFonts w:hint="default" w:ascii="Times New Roman" w:hAnsi="Times New Roman" w:eastAsia="宋体" w:cs="Times New Roman"/>
              <w:b w:val="0"/>
              <w:bCs/>
              <w:caps w:val="0"/>
              <w:color w:val="auto"/>
              <w:kern w:val="0"/>
              <w:sz w:val="24"/>
              <w:szCs w:val="24"/>
              <w:lang w:val="en-US" w:eastAsia="zh-CN"/>
            </w:rPr>
            <w:tab/>
          </w: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PAGEREF _Toc28636 \h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1</w:t>
          </w:r>
          <w:r>
            <w:rPr>
              <w:rStyle w:val="14"/>
              <w:rFonts w:hint="default" w:ascii="Times New Roman" w:hAnsi="Times New Roman" w:eastAsia="宋体" w:cs="Times New Roman"/>
              <w:b w:val="0"/>
              <w:bCs/>
              <w:caps w:val="0"/>
              <w:color w:val="auto"/>
              <w:kern w:val="0"/>
              <w:sz w:val="24"/>
              <w:szCs w:val="24"/>
            </w:rPr>
            <w:fldChar w:fldCharType="end"/>
          </w:r>
          <w:r>
            <w:rPr>
              <w:rStyle w:val="14"/>
              <w:rFonts w:hint="default" w:ascii="Times New Roman" w:hAnsi="Times New Roman" w:eastAsia="宋体" w:cs="Times New Roman"/>
              <w:b w:val="0"/>
              <w:bCs/>
              <w:caps w:val="0"/>
              <w:color w:val="auto"/>
              <w:kern w:val="0"/>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4"/>
              <w:rFonts w:hint="default" w:ascii="Times New Roman" w:hAnsi="Times New Roman" w:eastAsia="宋体" w:cs="Times New Roman"/>
              <w:b w:val="0"/>
              <w:bCs/>
              <w:caps w:val="0"/>
              <w:color w:val="auto"/>
              <w:kern w:val="0"/>
              <w:sz w:val="24"/>
              <w:szCs w:val="24"/>
            </w:rPr>
          </w:pP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HYPERLINK \l _Toc13177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三、基本修业年限</w:t>
          </w:r>
          <w:r>
            <w:rPr>
              <w:rStyle w:val="14"/>
              <w:rFonts w:hint="eastAsia" w:ascii="Times New Roman" w:hAnsi="Times New Roman" w:eastAsia="宋体" w:cs="Times New Roman"/>
              <w:b w:val="0"/>
              <w:bCs/>
              <w:caps w:val="0"/>
              <w:color w:val="auto"/>
              <w:kern w:val="0"/>
              <w:sz w:val="24"/>
              <w:szCs w:val="24"/>
              <w:lang w:val="en-US" w:eastAsia="zh-CN"/>
            </w:rPr>
            <w:tab/>
          </w: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PAGEREF _Toc13177 \h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1</w:t>
          </w:r>
          <w:r>
            <w:rPr>
              <w:rStyle w:val="14"/>
              <w:rFonts w:hint="default" w:ascii="Times New Roman" w:hAnsi="Times New Roman" w:eastAsia="宋体" w:cs="Times New Roman"/>
              <w:b w:val="0"/>
              <w:bCs/>
              <w:caps w:val="0"/>
              <w:color w:val="auto"/>
              <w:kern w:val="0"/>
              <w:sz w:val="24"/>
              <w:szCs w:val="24"/>
            </w:rPr>
            <w:fldChar w:fldCharType="end"/>
          </w:r>
          <w:r>
            <w:rPr>
              <w:rStyle w:val="14"/>
              <w:rFonts w:hint="default" w:ascii="Times New Roman" w:hAnsi="Times New Roman" w:eastAsia="宋体" w:cs="Times New Roman"/>
              <w:b w:val="0"/>
              <w:bCs/>
              <w:caps w:val="0"/>
              <w:color w:val="auto"/>
              <w:kern w:val="0"/>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4"/>
              <w:rFonts w:hint="default" w:ascii="Times New Roman" w:hAnsi="Times New Roman" w:eastAsia="宋体" w:cs="Times New Roman"/>
              <w:b w:val="0"/>
              <w:bCs/>
              <w:caps w:val="0"/>
              <w:color w:val="auto"/>
              <w:kern w:val="0"/>
              <w:sz w:val="24"/>
              <w:szCs w:val="24"/>
            </w:rPr>
          </w:pP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HYPERLINK \l _Toc15088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四、职业面向</w:t>
          </w:r>
          <w:r>
            <w:rPr>
              <w:rStyle w:val="14"/>
              <w:rFonts w:hint="eastAsia" w:ascii="Times New Roman" w:hAnsi="Times New Roman" w:eastAsia="宋体" w:cs="Times New Roman"/>
              <w:b w:val="0"/>
              <w:bCs/>
              <w:caps w:val="0"/>
              <w:color w:val="auto"/>
              <w:kern w:val="0"/>
              <w:sz w:val="24"/>
              <w:szCs w:val="24"/>
              <w:lang w:val="en-US" w:eastAsia="zh-CN"/>
            </w:rPr>
            <w:tab/>
          </w: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PAGEREF _Toc15088 \h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1</w:t>
          </w:r>
          <w:r>
            <w:rPr>
              <w:rStyle w:val="14"/>
              <w:rFonts w:hint="default" w:ascii="Times New Roman" w:hAnsi="Times New Roman" w:eastAsia="宋体" w:cs="Times New Roman"/>
              <w:b w:val="0"/>
              <w:bCs/>
              <w:caps w:val="0"/>
              <w:color w:val="auto"/>
              <w:kern w:val="0"/>
              <w:sz w:val="24"/>
              <w:szCs w:val="24"/>
            </w:rPr>
            <w:fldChar w:fldCharType="end"/>
          </w:r>
          <w:r>
            <w:rPr>
              <w:rStyle w:val="14"/>
              <w:rFonts w:hint="default" w:ascii="Times New Roman" w:hAnsi="Times New Roman" w:eastAsia="宋体" w:cs="Times New Roman"/>
              <w:b w:val="0"/>
              <w:bCs/>
              <w:caps w:val="0"/>
              <w:color w:val="auto"/>
              <w:kern w:val="0"/>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4"/>
              <w:rFonts w:hint="default" w:ascii="Times New Roman" w:hAnsi="Times New Roman" w:eastAsia="宋体" w:cs="Times New Roman"/>
              <w:b w:val="0"/>
              <w:bCs/>
              <w:caps w:val="0"/>
              <w:color w:val="auto"/>
              <w:kern w:val="0"/>
              <w:sz w:val="24"/>
              <w:szCs w:val="24"/>
            </w:rPr>
          </w:pP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HYPERLINK \l _Toc6611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五、培养目标与培养规格</w:t>
          </w:r>
          <w:r>
            <w:rPr>
              <w:rStyle w:val="14"/>
              <w:rFonts w:hint="eastAsia" w:ascii="Times New Roman" w:hAnsi="Times New Roman" w:eastAsia="宋体" w:cs="Times New Roman"/>
              <w:b w:val="0"/>
              <w:bCs/>
              <w:caps w:val="0"/>
              <w:color w:val="auto"/>
              <w:kern w:val="0"/>
              <w:sz w:val="24"/>
              <w:szCs w:val="24"/>
              <w:lang w:val="en-US" w:eastAsia="zh-CN"/>
            </w:rPr>
            <w:tab/>
          </w: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PAGEREF _Toc6611 \h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1</w:t>
          </w:r>
          <w:r>
            <w:rPr>
              <w:rStyle w:val="14"/>
              <w:rFonts w:hint="default" w:ascii="Times New Roman" w:hAnsi="Times New Roman" w:eastAsia="宋体" w:cs="Times New Roman"/>
              <w:b w:val="0"/>
              <w:bCs/>
              <w:caps w:val="0"/>
              <w:color w:val="auto"/>
              <w:kern w:val="0"/>
              <w:sz w:val="24"/>
              <w:szCs w:val="24"/>
            </w:rPr>
            <w:fldChar w:fldCharType="end"/>
          </w:r>
          <w:r>
            <w:rPr>
              <w:rStyle w:val="14"/>
              <w:rFonts w:hint="default" w:ascii="Times New Roman" w:hAnsi="Times New Roman" w:eastAsia="宋体" w:cs="Times New Roman"/>
              <w:b w:val="0"/>
              <w:bCs/>
              <w:caps w:val="0"/>
              <w:color w:val="auto"/>
              <w:kern w:val="0"/>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4"/>
              <w:rFonts w:hint="default" w:ascii="Times New Roman" w:hAnsi="Times New Roman" w:eastAsia="宋体" w:cs="Times New Roman"/>
              <w:b w:val="0"/>
              <w:bCs/>
              <w:caps w:val="0"/>
              <w:color w:val="auto"/>
              <w:kern w:val="0"/>
              <w:sz w:val="24"/>
              <w:szCs w:val="24"/>
            </w:rPr>
          </w:pP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HYPERLINK \l _Toc6338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lang w:eastAsia="zh-CN"/>
            </w:rPr>
            <w:t>六、</w:t>
          </w:r>
          <w:r>
            <w:rPr>
              <w:rStyle w:val="14"/>
              <w:rFonts w:hint="default" w:ascii="Times New Roman" w:hAnsi="Times New Roman" w:eastAsia="宋体" w:cs="Times New Roman"/>
              <w:b w:val="0"/>
              <w:bCs/>
              <w:caps w:val="0"/>
              <w:color w:val="auto"/>
              <w:kern w:val="0"/>
              <w:sz w:val="24"/>
              <w:szCs w:val="24"/>
            </w:rPr>
            <w:t>工作任务与职业能力分析</w:t>
          </w:r>
          <w:r>
            <w:rPr>
              <w:rStyle w:val="14"/>
              <w:rFonts w:hint="eastAsia" w:ascii="Times New Roman" w:hAnsi="Times New Roman" w:eastAsia="宋体" w:cs="Times New Roman"/>
              <w:b w:val="0"/>
              <w:bCs/>
              <w:caps w:val="0"/>
              <w:color w:val="auto"/>
              <w:kern w:val="0"/>
              <w:sz w:val="24"/>
              <w:szCs w:val="24"/>
              <w:lang w:val="en-US" w:eastAsia="zh-CN"/>
            </w:rPr>
            <w:tab/>
          </w: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PAGEREF _Toc6338 \h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3</w:t>
          </w:r>
          <w:r>
            <w:rPr>
              <w:rStyle w:val="14"/>
              <w:rFonts w:hint="default" w:ascii="Times New Roman" w:hAnsi="Times New Roman" w:eastAsia="宋体" w:cs="Times New Roman"/>
              <w:b w:val="0"/>
              <w:bCs/>
              <w:caps w:val="0"/>
              <w:color w:val="auto"/>
              <w:kern w:val="0"/>
              <w:sz w:val="24"/>
              <w:szCs w:val="24"/>
            </w:rPr>
            <w:fldChar w:fldCharType="end"/>
          </w:r>
          <w:r>
            <w:rPr>
              <w:rStyle w:val="14"/>
              <w:rFonts w:hint="default" w:ascii="Times New Roman" w:hAnsi="Times New Roman" w:eastAsia="宋体" w:cs="Times New Roman"/>
              <w:b w:val="0"/>
              <w:bCs/>
              <w:caps w:val="0"/>
              <w:color w:val="auto"/>
              <w:kern w:val="0"/>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4"/>
              <w:rFonts w:hint="default" w:ascii="Times New Roman" w:hAnsi="Times New Roman" w:eastAsia="宋体" w:cs="Times New Roman"/>
              <w:b w:val="0"/>
              <w:bCs/>
              <w:caps w:val="0"/>
              <w:color w:val="auto"/>
              <w:kern w:val="0"/>
              <w:sz w:val="24"/>
              <w:szCs w:val="24"/>
            </w:rPr>
          </w:pP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HYPERLINK \l _Toc5853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七、专业核心课程设置分析</w:t>
          </w:r>
          <w:r>
            <w:rPr>
              <w:rStyle w:val="14"/>
              <w:rFonts w:hint="eastAsia" w:ascii="Times New Roman" w:hAnsi="Times New Roman" w:eastAsia="宋体" w:cs="Times New Roman"/>
              <w:b w:val="0"/>
              <w:bCs/>
              <w:caps w:val="0"/>
              <w:color w:val="auto"/>
              <w:kern w:val="0"/>
              <w:sz w:val="24"/>
              <w:szCs w:val="24"/>
              <w:lang w:val="en-US" w:eastAsia="zh-CN"/>
            </w:rPr>
            <w:tab/>
          </w: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PAGEREF _Toc5853 \h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4</w:t>
          </w:r>
          <w:r>
            <w:rPr>
              <w:rStyle w:val="14"/>
              <w:rFonts w:hint="default" w:ascii="Times New Roman" w:hAnsi="Times New Roman" w:eastAsia="宋体" w:cs="Times New Roman"/>
              <w:b w:val="0"/>
              <w:bCs/>
              <w:caps w:val="0"/>
              <w:color w:val="auto"/>
              <w:kern w:val="0"/>
              <w:sz w:val="24"/>
              <w:szCs w:val="24"/>
            </w:rPr>
            <w:fldChar w:fldCharType="end"/>
          </w:r>
          <w:r>
            <w:rPr>
              <w:rStyle w:val="14"/>
              <w:rFonts w:hint="default" w:ascii="Times New Roman" w:hAnsi="Times New Roman" w:eastAsia="宋体" w:cs="Times New Roman"/>
              <w:b w:val="0"/>
              <w:bCs/>
              <w:caps w:val="0"/>
              <w:color w:val="auto"/>
              <w:kern w:val="0"/>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4"/>
              <w:rFonts w:hint="default" w:ascii="Times New Roman" w:hAnsi="Times New Roman" w:eastAsia="宋体" w:cs="Times New Roman"/>
              <w:b w:val="0"/>
              <w:bCs/>
              <w:caps w:val="0"/>
              <w:color w:val="auto"/>
              <w:kern w:val="0"/>
              <w:sz w:val="24"/>
              <w:szCs w:val="24"/>
            </w:rPr>
          </w:pP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HYPERLINK \l _Toc705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八、课程设置及要求</w:t>
          </w:r>
          <w:r>
            <w:rPr>
              <w:rStyle w:val="14"/>
              <w:rFonts w:hint="eastAsia" w:ascii="Times New Roman" w:hAnsi="Times New Roman" w:eastAsia="宋体" w:cs="Times New Roman"/>
              <w:b w:val="0"/>
              <w:bCs/>
              <w:caps w:val="0"/>
              <w:color w:val="auto"/>
              <w:kern w:val="0"/>
              <w:sz w:val="24"/>
              <w:szCs w:val="24"/>
              <w:lang w:val="en-US" w:eastAsia="zh-CN"/>
            </w:rPr>
            <w:tab/>
          </w: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PAGEREF _Toc705 \h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5</w:t>
          </w:r>
          <w:r>
            <w:rPr>
              <w:rStyle w:val="14"/>
              <w:rFonts w:hint="default" w:ascii="Times New Roman" w:hAnsi="Times New Roman" w:eastAsia="宋体" w:cs="Times New Roman"/>
              <w:b w:val="0"/>
              <w:bCs/>
              <w:caps w:val="0"/>
              <w:color w:val="auto"/>
              <w:kern w:val="0"/>
              <w:sz w:val="24"/>
              <w:szCs w:val="24"/>
            </w:rPr>
            <w:fldChar w:fldCharType="end"/>
          </w:r>
          <w:r>
            <w:rPr>
              <w:rStyle w:val="14"/>
              <w:rFonts w:hint="default" w:ascii="Times New Roman" w:hAnsi="Times New Roman" w:eastAsia="宋体" w:cs="Times New Roman"/>
              <w:b w:val="0"/>
              <w:bCs/>
              <w:caps w:val="0"/>
              <w:color w:val="auto"/>
              <w:kern w:val="0"/>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4"/>
              <w:rFonts w:hint="default" w:ascii="Times New Roman" w:hAnsi="Times New Roman" w:eastAsia="宋体" w:cs="Times New Roman"/>
              <w:b w:val="0"/>
              <w:bCs/>
              <w:caps w:val="0"/>
              <w:color w:val="auto"/>
              <w:kern w:val="0"/>
              <w:sz w:val="24"/>
              <w:szCs w:val="24"/>
            </w:rPr>
          </w:pP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HYPERLINK \l _Toc28084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九、教学进程总体安排</w:t>
          </w:r>
          <w:r>
            <w:rPr>
              <w:rStyle w:val="14"/>
              <w:rFonts w:hint="eastAsia" w:ascii="Times New Roman" w:hAnsi="Times New Roman" w:eastAsia="宋体" w:cs="Times New Roman"/>
              <w:b w:val="0"/>
              <w:bCs/>
              <w:caps w:val="0"/>
              <w:color w:val="auto"/>
              <w:kern w:val="0"/>
              <w:sz w:val="24"/>
              <w:szCs w:val="24"/>
              <w:lang w:val="en-US" w:eastAsia="zh-CN"/>
            </w:rPr>
            <w:tab/>
          </w: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PAGEREF _Toc28084 \h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28</w:t>
          </w:r>
          <w:r>
            <w:rPr>
              <w:rStyle w:val="14"/>
              <w:rFonts w:hint="default" w:ascii="Times New Roman" w:hAnsi="Times New Roman" w:eastAsia="宋体" w:cs="Times New Roman"/>
              <w:b w:val="0"/>
              <w:bCs/>
              <w:caps w:val="0"/>
              <w:color w:val="auto"/>
              <w:kern w:val="0"/>
              <w:sz w:val="24"/>
              <w:szCs w:val="24"/>
            </w:rPr>
            <w:fldChar w:fldCharType="end"/>
          </w:r>
          <w:r>
            <w:rPr>
              <w:rStyle w:val="14"/>
              <w:rFonts w:hint="default" w:ascii="Times New Roman" w:hAnsi="Times New Roman" w:eastAsia="宋体" w:cs="Times New Roman"/>
              <w:b w:val="0"/>
              <w:bCs/>
              <w:caps w:val="0"/>
              <w:color w:val="auto"/>
              <w:kern w:val="0"/>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4"/>
              <w:rFonts w:hint="default" w:ascii="Times New Roman" w:hAnsi="Times New Roman" w:eastAsia="宋体" w:cs="Times New Roman"/>
              <w:b w:val="0"/>
              <w:bCs/>
              <w:caps w:val="0"/>
              <w:color w:val="auto"/>
              <w:kern w:val="0"/>
              <w:sz w:val="24"/>
              <w:szCs w:val="24"/>
            </w:rPr>
          </w:pP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HYPERLINK \l _Toc12804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lang w:val="en-US" w:eastAsia="zh-CN"/>
            </w:rPr>
            <w:t>十</w:t>
          </w:r>
          <w:r>
            <w:rPr>
              <w:rStyle w:val="14"/>
              <w:rFonts w:hint="default" w:ascii="Times New Roman" w:hAnsi="Times New Roman" w:eastAsia="宋体" w:cs="Times New Roman"/>
              <w:b w:val="0"/>
              <w:bCs/>
              <w:caps w:val="0"/>
              <w:color w:val="auto"/>
              <w:kern w:val="0"/>
              <w:sz w:val="24"/>
              <w:szCs w:val="24"/>
            </w:rPr>
            <w:t>、教学保障</w:t>
          </w:r>
          <w:r>
            <w:rPr>
              <w:rStyle w:val="14"/>
              <w:rFonts w:hint="eastAsia" w:ascii="Times New Roman" w:hAnsi="Times New Roman" w:eastAsia="宋体" w:cs="Times New Roman"/>
              <w:b w:val="0"/>
              <w:bCs/>
              <w:caps w:val="0"/>
              <w:color w:val="auto"/>
              <w:kern w:val="0"/>
              <w:sz w:val="24"/>
              <w:szCs w:val="24"/>
              <w:lang w:val="en-US" w:eastAsia="zh-CN"/>
            </w:rPr>
            <w:tab/>
          </w: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PAGEREF _Toc12804 \h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30</w:t>
          </w:r>
          <w:r>
            <w:rPr>
              <w:rStyle w:val="14"/>
              <w:rFonts w:hint="default" w:ascii="Times New Roman" w:hAnsi="Times New Roman" w:eastAsia="宋体" w:cs="Times New Roman"/>
              <w:b w:val="0"/>
              <w:bCs/>
              <w:caps w:val="0"/>
              <w:color w:val="auto"/>
              <w:kern w:val="0"/>
              <w:sz w:val="24"/>
              <w:szCs w:val="24"/>
            </w:rPr>
            <w:fldChar w:fldCharType="end"/>
          </w:r>
          <w:r>
            <w:rPr>
              <w:rStyle w:val="14"/>
              <w:rFonts w:hint="default" w:ascii="Times New Roman" w:hAnsi="Times New Roman" w:eastAsia="宋体" w:cs="Times New Roman"/>
              <w:b w:val="0"/>
              <w:bCs/>
              <w:caps w:val="0"/>
              <w:color w:val="auto"/>
              <w:kern w:val="0"/>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4"/>
              <w:rFonts w:hint="default" w:ascii="Times New Roman" w:hAnsi="Times New Roman" w:eastAsia="宋体" w:cs="Times New Roman"/>
              <w:b w:val="0"/>
              <w:bCs/>
              <w:caps w:val="0"/>
              <w:color w:val="auto"/>
              <w:kern w:val="0"/>
              <w:sz w:val="24"/>
              <w:szCs w:val="24"/>
            </w:rPr>
          </w:pP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HYPERLINK \l _Toc17310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lang w:val="en-US" w:eastAsia="zh-CN"/>
            </w:rPr>
            <w:t>十一</w:t>
          </w:r>
          <w:r>
            <w:rPr>
              <w:rStyle w:val="14"/>
              <w:rFonts w:hint="default" w:ascii="Times New Roman" w:hAnsi="Times New Roman" w:eastAsia="宋体" w:cs="Times New Roman"/>
              <w:b w:val="0"/>
              <w:bCs/>
              <w:caps w:val="0"/>
              <w:color w:val="auto"/>
              <w:kern w:val="0"/>
              <w:sz w:val="24"/>
              <w:szCs w:val="24"/>
            </w:rPr>
            <w:t>、毕业要求</w:t>
          </w:r>
          <w:r>
            <w:rPr>
              <w:rStyle w:val="14"/>
              <w:rFonts w:hint="eastAsia" w:ascii="Times New Roman" w:hAnsi="Times New Roman" w:eastAsia="宋体" w:cs="Times New Roman"/>
              <w:b w:val="0"/>
              <w:bCs/>
              <w:caps w:val="0"/>
              <w:color w:val="auto"/>
              <w:kern w:val="0"/>
              <w:sz w:val="24"/>
              <w:szCs w:val="24"/>
              <w:lang w:val="en-US" w:eastAsia="zh-CN"/>
            </w:rPr>
            <w:tab/>
          </w: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PAGEREF _Toc17310 \h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37</w:t>
          </w:r>
          <w:r>
            <w:rPr>
              <w:rStyle w:val="14"/>
              <w:rFonts w:hint="default" w:ascii="Times New Roman" w:hAnsi="Times New Roman" w:eastAsia="宋体" w:cs="Times New Roman"/>
              <w:b w:val="0"/>
              <w:bCs/>
              <w:caps w:val="0"/>
              <w:color w:val="auto"/>
              <w:kern w:val="0"/>
              <w:sz w:val="24"/>
              <w:szCs w:val="24"/>
            </w:rPr>
            <w:fldChar w:fldCharType="end"/>
          </w:r>
          <w:r>
            <w:rPr>
              <w:rStyle w:val="14"/>
              <w:rFonts w:hint="default" w:ascii="Times New Roman" w:hAnsi="Times New Roman" w:eastAsia="宋体" w:cs="Times New Roman"/>
              <w:b w:val="0"/>
              <w:bCs/>
              <w:caps w:val="0"/>
              <w:color w:val="auto"/>
              <w:kern w:val="0"/>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4"/>
              <w:rFonts w:hint="default" w:ascii="Times New Roman" w:hAnsi="Times New Roman" w:eastAsia="宋体" w:cs="Times New Roman"/>
              <w:b w:val="0"/>
              <w:bCs/>
              <w:caps w:val="0"/>
              <w:color w:val="auto"/>
              <w:kern w:val="0"/>
              <w:sz w:val="24"/>
              <w:szCs w:val="24"/>
            </w:rPr>
          </w:pP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HYPERLINK \l _Toc10070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十</w:t>
          </w:r>
          <w:r>
            <w:rPr>
              <w:rStyle w:val="14"/>
              <w:rFonts w:hint="default" w:ascii="Times New Roman" w:hAnsi="Times New Roman" w:eastAsia="宋体" w:cs="Times New Roman"/>
              <w:b w:val="0"/>
              <w:bCs/>
              <w:caps w:val="0"/>
              <w:color w:val="auto"/>
              <w:kern w:val="0"/>
              <w:sz w:val="24"/>
              <w:szCs w:val="24"/>
              <w:lang w:eastAsia="zh-CN"/>
            </w:rPr>
            <w:t>二</w:t>
          </w:r>
          <w:r>
            <w:rPr>
              <w:rStyle w:val="14"/>
              <w:rFonts w:hint="default" w:ascii="Times New Roman" w:hAnsi="Times New Roman" w:eastAsia="宋体" w:cs="Times New Roman"/>
              <w:b w:val="0"/>
              <w:bCs/>
              <w:caps w:val="0"/>
              <w:color w:val="auto"/>
              <w:kern w:val="0"/>
              <w:sz w:val="24"/>
              <w:szCs w:val="24"/>
            </w:rPr>
            <w:t>、附录</w:t>
          </w:r>
          <w:r>
            <w:rPr>
              <w:rStyle w:val="14"/>
              <w:rFonts w:hint="eastAsia" w:ascii="Times New Roman" w:hAnsi="Times New Roman" w:eastAsia="宋体" w:cs="Times New Roman"/>
              <w:b w:val="0"/>
              <w:bCs/>
              <w:caps w:val="0"/>
              <w:color w:val="auto"/>
              <w:kern w:val="0"/>
              <w:sz w:val="24"/>
              <w:szCs w:val="24"/>
              <w:lang w:val="en-US" w:eastAsia="zh-CN"/>
            </w:rPr>
            <w:tab/>
          </w:r>
          <w:r>
            <w:rPr>
              <w:rStyle w:val="14"/>
              <w:rFonts w:hint="default" w:ascii="Times New Roman" w:hAnsi="Times New Roman" w:eastAsia="宋体" w:cs="Times New Roman"/>
              <w:b w:val="0"/>
              <w:bCs/>
              <w:caps w:val="0"/>
              <w:color w:val="auto"/>
              <w:kern w:val="0"/>
              <w:sz w:val="24"/>
              <w:szCs w:val="24"/>
            </w:rPr>
            <w:fldChar w:fldCharType="begin"/>
          </w:r>
          <w:r>
            <w:rPr>
              <w:rStyle w:val="14"/>
              <w:rFonts w:hint="default" w:ascii="Times New Roman" w:hAnsi="Times New Roman" w:eastAsia="宋体" w:cs="Times New Roman"/>
              <w:b w:val="0"/>
              <w:bCs/>
              <w:caps w:val="0"/>
              <w:color w:val="auto"/>
              <w:kern w:val="0"/>
              <w:sz w:val="24"/>
              <w:szCs w:val="24"/>
            </w:rPr>
            <w:instrText xml:space="preserve"> PAGEREF _Toc10070 \h </w:instrText>
          </w:r>
          <w:r>
            <w:rPr>
              <w:rStyle w:val="14"/>
              <w:rFonts w:hint="default" w:ascii="Times New Roman" w:hAnsi="Times New Roman" w:eastAsia="宋体" w:cs="Times New Roman"/>
              <w:b w:val="0"/>
              <w:bCs/>
              <w:caps w:val="0"/>
              <w:color w:val="auto"/>
              <w:kern w:val="0"/>
              <w:sz w:val="24"/>
              <w:szCs w:val="24"/>
            </w:rPr>
            <w:fldChar w:fldCharType="separate"/>
          </w:r>
          <w:r>
            <w:rPr>
              <w:rStyle w:val="14"/>
              <w:rFonts w:hint="default" w:ascii="Times New Roman" w:hAnsi="Times New Roman" w:eastAsia="宋体" w:cs="Times New Roman"/>
              <w:b w:val="0"/>
              <w:bCs/>
              <w:caps w:val="0"/>
              <w:color w:val="auto"/>
              <w:kern w:val="0"/>
              <w:sz w:val="24"/>
              <w:szCs w:val="24"/>
            </w:rPr>
            <w:t>43</w:t>
          </w:r>
          <w:r>
            <w:rPr>
              <w:rStyle w:val="14"/>
              <w:rFonts w:hint="default" w:ascii="Times New Roman" w:hAnsi="Times New Roman" w:eastAsia="宋体" w:cs="Times New Roman"/>
              <w:b w:val="0"/>
              <w:bCs/>
              <w:caps w:val="0"/>
              <w:color w:val="auto"/>
              <w:kern w:val="0"/>
              <w:sz w:val="24"/>
              <w:szCs w:val="24"/>
            </w:rPr>
            <w:fldChar w:fldCharType="end"/>
          </w:r>
          <w:r>
            <w:rPr>
              <w:rStyle w:val="14"/>
              <w:rFonts w:hint="default" w:ascii="Times New Roman" w:hAnsi="Times New Roman" w:eastAsia="宋体" w:cs="Times New Roman"/>
              <w:b w:val="0"/>
              <w:bCs/>
              <w:caps w:val="0"/>
              <w:color w:val="auto"/>
              <w:kern w:val="0"/>
              <w:sz w:val="24"/>
              <w:szCs w:val="24"/>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b/>
              <w:kern w:val="24"/>
              <w:sz w:val="36"/>
              <w:szCs w:val="36"/>
            </w:rPr>
          </w:pPr>
          <w:r>
            <w:rPr>
              <w:rStyle w:val="14"/>
              <w:rFonts w:hint="default" w:ascii="Times New Roman" w:hAnsi="Times New Roman" w:eastAsia="宋体" w:cs="Times New Roman"/>
              <w:b w:val="0"/>
              <w:bCs/>
              <w:caps w:val="0"/>
              <w:color w:val="auto"/>
              <w:kern w:val="0"/>
              <w:sz w:val="24"/>
              <w:szCs w:val="24"/>
            </w:rPr>
            <w:fldChar w:fldCharType="end"/>
          </w:r>
        </w:p>
      </w:sdtContent>
    </w:sdt>
    <w:p>
      <w:pPr>
        <w:snapToGrid w:val="0"/>
        <w:spacing w:line="560" w:lineRule="exact"/>
        <w:jc w:val="center"/>
        <w:rPr>
          <w:b/>
          <w:kern w:val="24"/>
          <w:sz w:val="36"/>
          <w:szCs w:val="36"/>
        </w:rPr>
      </w:pPr>
    </w:p>
    <w:p>
      <w:pPr>
        <w:snapToGrid w:val="0"/>
        <w:spacing w:line="560" w:lineRule="exact"/>
        <w:jc w:val="center"/>
        <w:rPr>
          <w:b/>
          <w:kern w:val="24"/>
          <w:sz w:val="36"/>
          <w:szCs w:val="36"/>
        </w:rPr>
      </w:pPr>
    </w:p>
    <w:p>
      <w:pPr>
        <w:snapToGrid w:val="0"/>
        <w:spacing w:line="560" w:lineRule="exact"/>
        <w:jc w:val="center"/>
        <w:rPr>
          <w:b/>
          <w:kern w:val="24"/>
          <w:sz w:val="36"/>
          <w:szCs w:val="36"/>
        </w:rPr>
      </w:pPr>
    </w:p>
    <w:p>
      <w:pPr>
        <w:snapToGrid w:val="0"/>
        <w:spacing w:line="560" w:lineRule="exact"/>
        <w:jc w:val="center"/>
        <w:rPr>
          <w:b/>
          <w:kern w:val="24"/>
          <w:sz w:val="36"/>
          <w:szCs w:val="36"/>
        </w:rPr>
      </w:pPr>
    </w:p>
    <w:p>
      <w:pPr>
        <w:snapToGrid w:val="0"/>
        <w:spacing w:line="560" w:lineRule="exact"/>
        <w:jc w:val="center"/>
        <w:rPr>
          <w:b/>
          <w:kern w:val="24"/>
          <w:sz w:val="36"/>
          <w:szCs w:val="36"/>
        </w:rPr>
      </w:pPr>
    </w:p>
    <w:p>
      <w:pPr>
        <w:snapToGrid w:val="0"/>
        <w:spacing w:line="560" w:lineRule="exact"/>
        <w:jc w:val="both"/>
        <w:rPr>
          <w:b/>
          <w:kern w:val="24"/>
          <w:sz w:val="36"/>
          <w:szCs w:val="36"/>
        </w:rPr>
      </w:pPr>
    </w:p>
    <w:p>
      <w:pPr>
        <w:snapToGrid w:val="0"/>
        <w:spacing w:line="560" w:lineRule="exact"/>
        <w:jc w:val="both"/>
        <w:rPr>
          <w:rFonts w:hint="eastAsia" w:ascii="华文中宋" w:hAnsi="华文中宋" w:eastAsia="华文中宋"/>
          <w:sz w:val="32"/>
          <w:szCs w:val="32"/>
          <w:lang w:eastAsia="zh-CN"/>
        </w:rPr>
        <w:sectPr>
          <w:pgSz w:w="11906" w:h="16838"/>
          <w:pgMar w:top="1440" w:right="1803" w:bottom="1440" w:left="1803" w:header="851" w:footer="992" w:gutter="0"/>
          <w:pgNumType w:start="0"/>
          <w:cols w:space="720" w:num="1"/>
          <w:titlePg/>
          <w:docGrid w:type="lines" w:linePitch="312" w:charSpace="0"/>
        </w:sectPr>
      </w:pPr>
    </w:p>
    <w:p>
      <w:pPr>
        <w:snapToGrid w:val="0"/>
        <w:spacing w:line="560" w:lineRule="exact"/>
        <w:jc w:val="center"/>
        <w:outlineLvl w:val="0"/>
        <w:rPr>
          <w:rFonts w:ascii="华文中宋" w:hAnsi="华文中宋" w:eastAsia="华文中宋"/>
          <w:sz w:val="32"/>
          <w:szCs w:val="32"/>
        </w:rPr>
      </w:pPr>
      <w:bookmarkStart w:id="0" w:name="_Toc7170"/>
      <w:r>
        <w:rPr>
          <w:rFonts w:hint="eastAsia" w:ascii="华文中宋" w:hAnsi="华文中宋" w:eastAsia="华文中宋"/>
          <w:sz w:val="32"/>
          <w:szCs w:val="32"/>
          <w:lang w:eastAsia="zh-CN"/>
        </w:rPr>
        <w:t>现代物流管理</w:t>
      </w:r>
      <w:r>
        <w:rPr>
          <w:rFonts w:ascii="华文中宋" w:hAnsi="华文中宋" w:eastAsia="华文中宋"/>
          <w:sz w:val="32"/>
          <w:szCs w:val="32"/>
        </w:rPr>
        <w:t>专业人才培养方案</w:t>
      </w:r>
      <w:bookmarkEnd w:id="0"/>
    </w:p>
    <w:p>
      <w:pPr>
        <w:snapToGrid w:val="0"/>
        <w:spacing w:line="560" w:lineRule="exact"/>
        <w:ind w:firstLine="640" w:firstLineChars="200"/>
        <w:rPr>
          <w:rFonts w:ascii="Times New Roman" w:hAnsi="Times New Roman" w:eastAsia="黑体"/>
          <w:sz w:val="32"/>
          <w:szCs w:val="28"/>
        </w:rPr>
      </w:pPr>
    </w:p>
    <w:p>
      <w:pPr>
        <w:snapToGrid w:val="0"/>
        <w:spacing w:line="560" w:lineRule="exact"/>
        <w:ind w:firstLine="602" w:firstLineChars="200"/>
        <w:outlineLvl w:val="0"/>
        <w:rPr>
          <w:rFonts w:ascii="宋体" w:hAnsi="宋体"/>
          <w:b/>
          <w:sz w:val="30"/>
          <w:szCs w:val="30"/>
        </w:rPr>
      </w:pPr>
      <w:bookmarkStart w:id="1" w:name="_Toc17748"/>
      <w:r>
        <w:rPr>
          <w:rFonts w:ascii="宋体" w:hAnsi="宋体"/>
          <w:b/>
          <w:sz w:val="30"/>
          <w:szCs w:val="30"/>
        </w:rPr>
        <w:t>一、</w:t>
      </w:r>
      <w:r>
        <w:rPr>
          <w:rFonts w:hint="eastAsia" w:ascii="宋体" w:hAnsi="宋体"/>
          <w:b/>
          <w:sz w:val="30"/>
          <w:szCs w:val="30"/>
        </w:rPr>
        <w:t>专业名称及专业代码</w:t>
      </w:r>
      <w:bookmarkEnd w:id="1"/>
    </w:p>
    <w:p>
      <w:pPr>
        <w:widowControl/>
        <w:spacing w:line="440" w:lineRule="exact"/>
        <w:ind w:firstLine="720" w:firstLineChars="300"/>
        <w:jc w:val="left"/>
        <w:rPr>
          <w:rFonts w:ascii="宋体" w:hAnsi="宋体" w:cs="宋体"/>
          <w:color w:val="000000"/>
          <w:kern w:val="0"/>
          <w:sz w:val="24"/>
          <w:szCs w:val="24"/>
        </w:rPr>
      </w:pPr>
      <w:r>
        <w:rPr>
          <w:rFonts w:hint="eastAsia" w:ascii="宋体" w:hAnsi="宋体" w:cs="宋体"/>
          <w:color w:val="000000"/>
          <w:kern w:val="0"/>
          <w:sz w:val="24"/>
          <w:szCs w:val="24"/>
          <w:lang w:eastAsia="zh-CN"/>
        </w:rPr>
        <w:t>现代物流管理</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530802</w:t>
      </w:r>
      <w:r>
        <w:rPr>
          <w:rFonts w:hint="eastAsia" w:ascii="宋体" w:hAnsi="宋体" w:cs="宋体"/>
          <w:color w:val="000000"/>
          <w:kern w:val="0"/>
          <w:sz w:val="24"/>
          <w:szCs w:val="24"/>
        </w:rPr>
        <w:t>）</w:t>
      </w:r>
    </w:p>
    <w:p>
      <w:pPr>
        <w:snapToGrid w:val="0"/>
        <w:spacing w:line="560" w:lineRule="exact"/>
        <w:ind w:firstLine="602" w:firstLineChars="200"/>
        <w:outlineLvl w:val="0"/>
        <w:rPr>
          <w:rFonts w:ascii="宋体" w:hAnsi="宋体"/>
          <w:b/>
          <w:sz w:val="30"/>
          <w:szCs w:val="30"/>
        </w:rPr>
      </w:pPr>
      <w:bookmarkStart w:id="2" w:name="_Toc28636"/>
      <w:r>
        <w:rPr>
          <w:rFonts w:hint="eastAsia" w:ascii="宋体" w:hAnsi="宋体"/>
          <w:b/>
          <w:sz w:val="30"/>
          <w:szCs w:val="30"/>
        </w:rPr>
        <w:t>二、入学要求</w:t>
      </w:r>
      <w:bookmarkEnd w:id="2"/>
    </w:p>
    <w:p>
      <w:pPr>
        <w:widowControl/>
        <w:spacing w:line="44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普通高级中学毕业、中等职业学校毕业或具有同等学历者。</w:t>
      </w:r>
    </w:p>
    <w:p>
      <w:pPr>
        <w:snapToGrid w:val="0"/>
        <w:spacing w:line="560" w:lineRule="exact"/>
        <w:ind w:firstLine="602" w:firstLineChars="200"/>
        <w:outlineLvl w:val="0"/>
        <w:rPr>
          <w:rFonts w:ascii="宋体" w:hAnsi="宋体"/>
          <w:b/>
          <w:sz w:val="30"/>
          <w:szCs w:val="30"/>
        </w:rPr>
      </w:pPr>
      <w:bookmarkStart w:id="3" w:name="_Toc13177"/>
      <w:r>
        <w:rPr>
          <w:rFonts w:hint="eastAsia" w:ascii="宋体" w:hAnsi="宋体"/>
          <w:b/>
          <w:sz w:val="30"/>
          <w:szCs w:val="30"/>
        </w:rPr>
        <w:t>三、基本修业年限</w:t>
      </w:r>
      <w:bookmarkEnd w:id="3"/>
    </w:p>
    <w:p>
      <w:pPr>
        <w:widowControl/>
        <w:spacing w:line="44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基本修业年限为全日制3年。专业实行学分制和弹性学制，可根据学生灵活学习需求合理、弹性安排学习时间，最多不超过</w:t>
      </w:r>
      <w:r>
        <w:rPr>
          <w:rFonts w:ascii="宋体" w:hAnsi="宋体" w:cs="宋体"/>
          <w:color w:val="000000"/>
          <w:kern w:val="0"/>
          <w:sz w:val="24"/>
          <w:szCs w:val="24"/>
        </w:rPr>
        <w:t xml:space="preserve">6 </w:t>
      </w:r>
      <w:r>
        <w:rPr>
          <w:rFonts w:hint="eastAsia" w:ascii="宋体" w:hAnsi="宋体" w:cs="宋体"/>
          <w:color w:val="000000"/>
          <w:kern w:val="0"/>
          <w:sz w:val="24"/>
          <w:szCs w:val="24"/>
        </w:rPr>
        <w:t>年。</w:t>
      </w:r>
    </w:p>
    <w:p>
      <w:pPr>
        <w:numPr>
          <w:ilvl w:val="0"/>
          <w:numId w:val="1"/>
        </w:numPr>
        <w:snapToGrid w:val="0"/>
        <w:spacing w:line="560" w:lineRule="exact"/>
        <w:ind w:firstLine="602" w:firstLineChars="200"/>
        <w:outlineLvl w:val="0"/>
        <w:rPr>
          <w:rFonts w:hint="eastAsia" w:ascii="宋体" w:hAnsi="宋体"/>
          <w:b/>
          <w:sz w:val="30"/>
          <w:szCs w:val="30"/>
        </w:rPr>
      </w:pPr>
      <w:bookmarkStart w:id="4" w:name="_Toc15088"/>
      <w:r>
        <w:rPr>
          <w:rFonts w:hint="eastAsia" w:ascii="宋体" w:hAnsi="宋体"/>
          <w:b/>
          <w:sz w:val="30"/>
          <w:szCs w:val="30"/>
        </w:rPr>
        <w:t>职业面向</w:t>
      </w:r>
      <w:bookmarkEnd w:id="4"/>
    </w:p>
    <w:p>
      <w:pPr>
        <w:keepNext w:val="0"/>
        <w:keepLines w:val="0"/>
        <w:pageBreakBefore w:val="0"/>
        <w:widowControl w:val="0"/>
        <w:kinsoku/>
        <w:wordWrap/>
        <w:overflowPunct/>
        <w:topLinePunct w:val="0"/>
        <w:autoSpaceDE/>
        <w:autoSpaceDN/>
        <w:bidi w:val="0"/>
        <w:adjustRightInd/>
        <w:snapToGrid/>
        <w:spacing w:before="313" w:beforeLines="100"/>
        <w:ind w:firstLine="0" w:firstLineChars="0"/>
        <w:jc w:val="center"/>
        <w:textAlignment w:val="auto"/>
        <w:rPr>
          <w:b/>
          <w:bCs/>
          <w:sz w:val="21"/>
          <w:szCs w:val="21"/>
        </w:rPr>
      </w:pPr>
      <w:r>
        <w:rPr>
          <w:rFonts w:hint="eastAsia"/>
          <w:b/>
          <w:bCs/>
          <w:sz w:val="21"/>
          <w:szCs w:val="21"/>
        </w:rPr>
        <w:t>表1：</w:t>
      </w:r>
      <w:r>
        <w:rPr>
          <w:rFonts w:hint="eastAsia"/>
          <w:b/>
          <w:bCs/>
          <w:sz w:val="21"/>
          <w:szCs w:val="21"/>
          <w:lang w:eastAsia="zh-CN"/>
        </w:rPr>
        <w:t>现代物流管理</w:t>
      </w:r>
      <w:r>
        <w:rPr>
          <w:rFonts w:hint="eastAsia"/>
          <w:b/>
          <w:bCs/>
          <w:sz w:val="21"/>
          <w:szCs w:val="21"/>
        </w:rPr>
        <w:t>专业职业面向一览表</w:t>
      </w:r>
    </w:p>
    <w:tbl>
      <w:tblPr>
        <w:tblStyle w:val="10"/>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088"/>
        <w:gridCol w:w="1266"/>
        <w:gridCol w:w="1331"/>
        <w:gridCol w:w="1647"/>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center"/>
              <w:textAlignment w:val="auto"/>
              <w:rPr>
                <w:rFonts w:ascii="宋体" w:hAnsi="宋体"/>
                <w:color w:val="000000"/>
                <w:sz w:val="18"/>
                <w:szCs w:val="18"/>
              </w:rPr>
            </w:pPr>
            <w:r>
              <w:rPr>
                <w:rFonts w:ascii="宋体" w:hAnsi="宋体"/>
                <w:color w:val="000000"/>
                <w:sz w:val="18"/>
                <w:szCs w:val="18"/>
              </w:rPr>
              <w:t>所属专业大类</w:t>
            </w:r>
          </w:p>
          <w:p>
            <w:pPr>
              <w:snapToGrid w:val="0"/>
              <w:spacing w:line="320" w:lineRule="exact"/>
              <w:jc w:val="center"/>
              <w:rPr>
                <w:rFonts w:ascii="宋体" w:hAnsi="宋体"/>
                <w:color w:val="000000"/>
                <w:sz w:val="18"/>
                <w:szCs w:val="18"/>
              </w:rPr>
            </w:pPr>
            <w:r>
              <w:rPr>
                <w:rFonts w:ascii="宋体" w:hAnsi="宋体"/>
                <w:color w:val="000000"/>
                <w:sz w:val="18"/>
                <w:szCs w:val="18"/>
              </w:rPr>
              <w:t>（代码）</w:t>
            </w:r>
          </w:p>
        </w:tc>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center"/>
              <w:textAlignment w:val="auto"/>
              <w:rPr>
                <w:rFonts w:ascii="宋体" w:hAnsi="宋体"/>
                <w:color w:val="000000"/>
                <w:sz w:val="18"/>
                <w:szCs w:val="18"/>
              </w:rPr>
            </w:pPr>
            <w:r>
              <w:rPr>
                <w:rFonts w:ascii="宋体" w:hAnsi="宋体"/>
                <w:color w:val="000000"/>
                <w:sz w:val="18"/>
                <w:szCs w:val="18"/>
              </w:rPr>
              <w:t>所属专业类</w:t>
            </w:r>
          </w:p>
          <w:p>
            <w:pPr>
              <w:snapToGrid w:val="0"/>
              <w:spacing w:line="320" w:lineRule="exact"/>
              <w:jc w:val="center"/>
              <w:rPr>
                <w:rFonts w:ascii="宋体" w:hAnsi="宋体"/>
                <w:color w:val="000000"/>
                <w:sz w:val="18"/>
                <w:szCs w:val="18"/>
              </w:rPr>
            </w:pPr>
            <w:r>
              <w:rPr>
                <w:rFonts w:ascii="宋体" w:hAnsi="宋体"/>
                <w:color w:val="000000"/>
                <w:sz w:val="18"/>
                <w:szCs w:val="18"/>
              </w:rPr>
              <w:t>（代码）</w:t>
            </w:r>
          </w:p>
        </w:tc>
        <w:tc>
          <w:tcPr>
            <w:tcW w:w="1266" w:type="dxa"/>
            <w:vAlign w:val="center"/>
          </w:tcPr>
          <w:p>
            <w:pPr>
              <w:snapToGrid w:val="0"/>
              <w:spacing w:line="320" w:lineRule="exact"/>
              <w:jc w:val="center"/>
              <w:rPr>
                <w:rFonts w:ascii="宋体" w:hAnsi="宋体"/>
                <w:color w:val="000000"/>
                <w:sz w:val="18"/>
                <w:szCs w:val="18"/>
              </w:rPr>
            </w:pPr>
            <w:r>
              <w:rPr>
                <w:rFonts w:ascii="宋体" w:hAnsi="宋体"/>
                <w:color w:val="000000"/>
                <w:sz w:val="18"/>
                <w:szCs w:val="18"/>
              </w:rPr>
              <w:t>对应行业</w:t>
            </w:r>
          </w:p>
          <w:p>
            <w:pPr>
              <w:snapToGrid w:val="0"/>
              <w:spacing w:line="320" w:lineRule="exact"/>
              <w:jc w:val="center"/>
              <w:rPr>
                <w:rFonts w:ascii="宋体" w:hAnsi="宋体"/>
                <w:color w:val="000000"/>
                <w:sz w:val="18"/>
                <w:szCs w:val="18"/>
              </w:rPr>
            </w:pPr>
            <w:r>
              <w:rPr>
                <w:rFonts w:ascii="宋体" w:hAnsi="宋体"/>
                <w:color w:val="000000"/>
                <w:sz w:val="18"/>
                <w:szCs w:val="18"/>
              </w:rPr>
              <w:t>（代码）</w:t>
            </w:r>
          </w:p>
        </w:tc>
        <w:tc>
          <w:tcPr>
            <w:tcW w:w="1331" w:type="dxa"/>
            <w:vAlign w:val="center"/>
          </w:tcPr>
          <w:p>
            <w:pPr>
              <w:snapToGrid w:val="0"/>
              <w:spacing w:line="320" w:lineRule="exact"/>
              <w:jc w:val="center"/>
              <w:rPr>
                <w:rFonts w:ascii="宋体" w:hAnsi="宋体"/>
                <w:color w:val="000000"/>
                <w:sz w:val="18"/>
                <w:szCs w:val="18"/>
              </w:rPr>
            </w:pPr>
            <w:r>
              <w:rPr>
                <w:rFonts w:ascii="宋体" w:hAnsi="宋体"/>
                <w:color w:val="000000"/>
                <w:sz w:val="18"/>
                <w:szCs w:val="18"/>
              </w:rPr>
              <w:t>主要职业类别</w:t>
            </w:r>
          </w:p>
          <w:p>
            <w:pPr>
              <w:snapToGrid w:val="0"/>
              <w:spacing w:line="320" w:lineRule="exact"/>
              <w:jc w:val="center"/>
              <w:rPr>
                <w:rFonts w:ascii="宋体" w:hAnsi="宋体"/>
                <w:color w:val="000000"/>
                <w:sz w:val="18"/>
                <w:szCs w:val="18"/>
              </w:rPr>
            </w:pPr>
            <w:r>
              <w:rPr>
                <w:rFonts w:ascii="宋体" w:hAnsi="宋体"/>
                <w:color w:val="000000"/>
                <w:sz w:val="18"/>
                <w:szCs w:val="18"/>
              </w:rPr>
              <w:t>（代码）</w:t>
            </w:r>
          </w:p>
        </w:tc>
        <w:tc>
          <w:tcPr>
            <w:tcW w:w="1647" w:type="dxa"/>
            <w:vAlign w:val="center"/>
          </w:tcPr>
          <w:p>
            <w:pPr>
              <w:snapToGrid w:val="0"/>
              <w:spacing w:line="320" w:lineRule="exact"/>
              <w:jc w:val="center"/>
              <w:rPr>
                <w:rFonts w:ascii="宋体" w:hAnsi="宋体"/>
                <w:color w:val="000000"/>
                <w:sz w:val="18"/>
                <w:szCs w:val="18"/>
              </w:rPr>
            </w:pPr>
            <w:r>
              <w:rPr>
                <w:rFonts w:ascii="宋体" w:hAnsi="宋体"/>
                <w:color w:val="000000"/>
                <w:sz w:val="18"/>
                <w:szCs w:val="18"/>
              </w:rPr>
              <w:t>主要岗位</w:t>
            </w:r>
            <w:r>
              <w:rPr>
                <w:rFonts w:hint="eastAsia" w:ascii="宋体" w:hAnsi="宋体"/>
                <w:color w:val="000000"/>
                <w:sz w:val="18"/>
                <w:szCs w:val="18"/>
              </w:rPr>
              <w:t>类别</w:t>
            </w:r>
          </w:p>
          <w:p>
            <w:pPr>
              <w:snapToGrid w:val="0"/>
              <w:spacing w:line="320" w:lineRule="exact"/>
              <w:jc w:val="center"/>
              <w:rPr>
                <w:rFonts w:ascii="宋体" w:hAnsi="宋体"/>
                <w:color w:val="000000"/>
                <w:sz w:val="18"/>
                <w:szCs w:val="18"/>
              </w:rPr>
            </w:pPr>
            <w:r>
              <w:rPr>
                <w:rFonts w:hint="eastAsia" w:ascii="宋体" w:hAnsi="宋体"/>
                <w:color w:val="000000"/>
                <w:sz w:val="18"/>
                <w:szCs w:val="18"/>
              </w:rPr>
              <w:t>（技术领域）举例</w:t>
            </w:r>
          </w:p>
        </w:tc>
        <w:tc>
          <w:tcPr>
            <w:tcW w:w="2362" w:type="dxa"/>
            <w:vAlign w:val="center"/>
          </w:tcPr>
          <w:p>
            <w:pPr>
              <w:snapToGrid w:val="0"/>
              <w:spacing w:line="320" w:lineRule="exact"/>
              <w:jc w:val="center"/>
              <w:rPr>
                <w:rFonts w:ascii="宋体" w:hAnsi="宋体"/>
                <w:color w:val="000000"/>
                <w:sz w:val="18"/>
                <w:szCs w:val="18"/>
              </w:rPr>
            </w:pPr>
            <w:r>
              <w:rPr>
                <w:rFonts w:ascii="宋体" w:hAnsi="宋体"/>
                <w:color w:val="000000"/>
                <w:sz w:val="18"/>
                <w:szCs w:val="18"/>
              </w:rPr>
              <w:t>职业资格</w:t>
            </w:r>
            <w:r>
              <w:rPr>
                <w:rFonts w:hint="eastAsia" w:ascii="宋体" w:hAnsi="宋体"/>
                <w:color w:val="000000"/>
                <w:sz w:val="18"/>
                <w:szCs w:val="18"/>
              </w:rPr>
              <w:t>（</w:t>
            </w:r>
            <w:r>
              <w:rPr>
                <w:rFonts w:ascii="宋体" w:hAnsi="宋体"/>
                <w:color w:val="000000"/>
                <w:sz w:val="18"/>
                <w:szCs w:val="18"/>
              </w:rPr>
              <w:t>职业技能等级</w:t>
            </w:r>
            <w:r>
              <w:rPr>
                <w:rFonts w:hint="eastAsia" w:ascii="宋体" w:hAnsi="宋体"/>
                <w:color w:val="000000"/>
                <w:sz w:val="18"/>
                <w:szCs w:val="18"/>
              </w:rPr>
              <w:t>）</w:t>
            </w:r>
          </w:p>
          <w:p>
            <w:pPr>
              <w:snapToGrid w:val="0"/>
              <w:spacing w:line="320" w:lineRule="exact"/>
              <w:jc w:val="center"/>
              <w:rPr>
                <w:rFonts w:ascii="宋体" w:hAnsi="宋体"/>
                <w:color w:val="000000"/>
                <w:sz w:val="18"/>
                <w:szCs w:val="18"/>
              </w:rPr>
            </w:pPr>
            <w:r>
              <w:rPr>
                <w:rFonts w:ascii="宋体" w:hAnsi="宋体"/>
                <w:color w:val="000000"/>
                <w:sz w:val="18"/>
                <w:szCs w:val="18"/>
              </w:rPr>
              <w:t>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3" w:type="dxa"/>
            <w:vAlign w:val="center"/>
          </w:tcPr>
          <w:p>
            <w:pPr>
              <w:snapToGrid w:val="0"/>
              <w:spacing w:line="320" w:lineRule="exact"/>
              <w:jc w:val="center"/>
              <w:rPr>
                <w:rFonts w:hint="eastAsia"/>
                <w:sz w:val="18"/>
                <w:szCs w:val="18"/>
              </w:rPr>
            </w:pPr>
            <w:r>
              <w:rPr>
                <w:rFonts w:hint="eastAsia"/>
                <w:sz w:val="18"/>
                <w:szCs w:val="18"/>
              </w:rPr>
              <w:t>财经商贸</w:t>
            </w:r>
          </w:p>
          <w:p>
            <w:pPr>
              <w:snapToGrid w:val="0"/>
              <w:spacing w:line="320" w:lineRule="exact"/>
              <w:jc w:val="center"/>
              <w:rPr>
                <w:rFonts w:hint="eastAsia"/>
                <w:sz w:val="18"/>
                <w:szCs w:val="18"/>
              </w:rPr>
            </w:pPr>
            <w:r>
              <w:rPr>
                <w:rFonts w:hint="eastAsia"/>
                <w:sz w:val="18"/>
                <w:szCs w:val="18"/>
              </w:rPr>
              <w:t>大类</w:t>
            </w:r>
          </w:p>
          <w:p>
            <w:pPr>
              <w:snapToGrid w:val="0"/>
              <w:spacing w:line="320" w:lineRule="exact"/>
              <w:jc w:val="center"/>
              <w:rPr>
                <w:rFonts w:ascii="宋体" w:hAnsi="宋体"/>
                <w:color w:val="000000"/>
                <w:sz w:val="18"/>
                <w:szCs w:val="18"/>
              </w:rPr>
            </w:pPr>
            <w:r>
              <w:rPr>
                <w:rFonts w:hint="eastAsia"/>
                <w:sz w:val="18"/>
                <w:szCs w:val="18"/>
                <w:lang w:eastAsia="zh-CN"/>
              </w:rPr>
              <w:t>（</w:t>
            </w:r>
            <w:r>
              <w:rPr>
                <w:rFonts w:hint="eastAsia" w:ascii="宋体" w:hAnsi="宋体"/>
                <w:color w:val="000000"/>
                <w:sz w:val="18"/>
                <w:szCs w:val="18"/>
                <w:lang w:val="en-US" w:eastAsia="zh-CN"/>
              </w:rPr>
              <w:t>53）</w:t>
            </w:r>
          </w:p>
        </w:tc>
        <w:tc>
          <w:tcPr>
            <w:tcW w:w="1088" w:type="dxa"/>
            <w:vAlign w:val="center"/>
          </w:tcPr>
          <w:p>
            <w:pPr>
              <w:snapToGrid w:val="0"/>
              <w:spacing w:line="320" w:lineRule="exact"/>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现代物流</w:t>
            </w:r>
          </w:p>
          <w:p>
            <w:pPr>
              <w:snapToGrid w:val="0"/>
              <w:spacing w:line="320" w:lineRule="exact"/>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管理</w:t>
            </w:r>
          </w:p>
          <w:p>
            <w:pPr>
              <w:snapToGrid w:val="0"/>
              <w:spacing w:line="320" w:lineRule="exact"/>
              <w:jc w:val="center"/>
              <w:rPr>
                <w:rFonts w:hint="eastAsia" w:ascii="宋体" w:hAnsi="宋体"/>
                <w:color w:val="000000"/>
                <w:sz w:val="18"/>
                <w:szCs w:val="18"/>
              </w:rPr>
            </w:pPr>
            <w:r>
              <w:rPr>
                <w:rFonts w:hint="eastAsia" w:ascii="宋体" w:hAnsi="宋体"/>
                <w:color w:val="000000"/>
                <w:sz w:val="18"/>
                <w:szCs w:val="18"/>
                <w:lang w:val="en-US" w:eastAsia="zh-CN"/>
              </w:rPr>
              <w:t>（5308）</w:t>
            </w:r>
          </w:p>
        </w:tc>
        <w:tc>
          <w:tcPr>
            <w:tcW w:w="1266" w:type="dxa"/>
            <w:vAlign w:val="center"/>
          </w:tcPr>
          <w:p>
            <w:pPr>
              <w:snapToGrid w:val="0"/>
              <w:spacing w:line="320" w:lineRule="exact"/>
              <w:jc w:val="center"/>
              <w:rPr>
                <w:rFonts w:hint="eastAsia" w:ascii="宋体" w:hAnsi="宋体"/>
                <w:color w:val="000000"/>
                <w:sz w:val="18"/>
                <w:szCs w:val="18"/>
              </w:rPr>
            </w:pPr>
            <w:r>
              <w:rPr>
                <w:rFonts w:hint="eastAsia" w:ascii="宋体" w:hAnsi="宋体"/>
                <w:color w:val="000000"/>
                <w:sz w:val="18"/>
                <w:szCs w:val="18"/>
              </w:rPr>
              <w:t>道路运输业（54）；多式联运和运输代理业（58）；装卸搬运和仓储业（59）</w:t>
            </w:r>
          </w:p>
        </w:tc>
        <w:tc>
          <w:tcPr>
            <w:tcW w:w="1331" w:type="dxa"/>
            <w:vAlign w:val="center"/>
          </w:tcPr>
          <w:p>
            <w:pPr>
              <w:snapToGrid w:val="0"/>
              <w:spacing w:line="320" w:lineRule="exact"/>
              <w:jc w:val="center"/>
              <w:rPr>
                <w:rFonts w:hint="eastAsia" w:ascii="宋体" w:hAnsi="宋体"/>
                <w:color w:val="000000"/>
                <w:sz w:val="18"/>
                <w:szCs w:val="18"/>
              </w:rPr>
            </w:pPr>
            <w:r>
              <w:rPr>
                <w:rFonts w:hint="eastAsia" w:ascii="宋体" w:hAnsi="宋体"/>
                <w:color w:val="000000"/>
                <w:sz w:val="18"/>
                <w:szCs w:val="18"/>
              </w:rPr>
              <w:t>管理（工业）工程技术人员（2-02--30）；装卸搬运和运输代理服务人员（4-02-05）；仓储人员（4-02-06）</w:t>
            </w:r>
          </w:p>
        </w:tc>
        <w:tc>
          <w:tcPr>
            <w:tcW w:w="1647" w:type="dxa"/>
            <w:vAlign w:val="center"/>
          </w:tcPr>
          <w:p>
            <w:pPr>
              <w:snapToGrid w:val="0"/>
              <w:spacing w:line="320" w:lineRule="exact"/>
              <w:jc w:val="center"/>
              <w:rPr>
                <w:rFonts w:hint="eastAsia" w:ascii="宋体" w:hAnsi="宋体"/>
                <w:color w:val="000000"/>
                <w:sz w:val="18"/>
                <w:szCs w:val="18"/>
              </w:rPr>
            </w:pPr>
            <w:r>
              <w:rPr>
                <w:rFonts w:hint="eastAsia" w:ascii="宋体" w:hAnsi="宋体"/>
                <w:color w:val="000000"/>
                <w:sz w:val="18"/>
                <w:szCs w:val="18"/>
              </w:rPr>
              <w:t>仓储主管；</w:t>
            </w:r>
          </w:p>
          <w:p>
            <w:pPr>
              <w:snapToGrid w:val="0"/>
              <w:spacing w:line="320" w:lineRule="exact"/>
              <w:jc w:val="center"/>
              <w:rPr>
                <w:rFonts w:hint="eastAsia" w:ascii="宋体" w:hAnsi="宋体"/>
                <w:color w:val="000000"/>
                <w:sz w:val="18"/>
                <w:szCs w:val="18"/>
              </w:rPr>
            </w:pPr>
            <w:r>
              <w:rPr>
                <w:rFonts w:hint="eastAsia" w:ascii="宋体" w:hAnsi="宋体"/>
                <w:color w:val="000000"/>
                <w:sz w:val="18"/>
                <w:szCs w:val="18"/>
              </w:rPr>
              <w:t>运输主管；</w:t>
            </w:r>
          </w:p>
          <w:p>
            <w:pPr>
              <w:snapToGrid w:val="0"/>
              <w:spacing w:line="320" w:lineRule="exact"/>
              <w:jc w:val="center"/>
              <w:rPr>
                <w:rFonts w:hint="eastAsia" w:ascii="宋体" w:hAnsi="宋体"/>
                <w:color w:val="000000"/>
                <w:sz w:val="18"/>
                <w:szCs w:val="18"/>
              </w:rPr>
            </w:pPr>
            <w:r>
              <w:rPr>
                <w:rFonts w:hint="eastAsia" w:ascii="宋体" w:hAnsi="宋体"/>
                <w:color w:val="000000"/>
                <w:sz w:val="18"/>
                <w:szCs w:val="18"/>
              </w:rPr>
              <w:t>物流销售主管；</w:t>
            </w:r>
          </w:p>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center"/>
              <w:textAlignment w:val="auto"/>
              <w:rPr>
                <w:rFonts w:hint="eastAsia" w:ascii="宋体" w:hAnsi="宋体"/>
                <w:color w:val="000000"/>
                <w:sz w:val="18"/>
                <w:szCs w:val="18"/>
              </w:rPr>
            </w:pPr>
            <w:r>
              <w:rPr>
                <w:rFonts w:hint="eastAsia" w:ascii="宋体" w:hAnsi="宋体"/>
                <w:color w:val="000000"/>
                <w:sz w:val="18"/>
                <w:szCs w:val="18"/>
              </w:rPr>
              <w:t>物流客户服务主管；</w:t>
            </w:r>
          </w:p>
          <w:p>
            <w:pPr>
              <w:snapToGrid w:val="0"/>
              <w:spacing w:line="320" w:lineRule="exact"/>
              <w:jc w:val="center"/>
              <w:rPr>
                <w:rFonts w:hint="eastAsia" w:ascii="宋体" w:hAnsi="宋体"/>
                <w:color w:val="000000"/>
                <w:sz w:val="18"/>
                <w:szCs w:val="18"/>
                <w:lang w:eastAsia="zh-CN"/>
              </w:rPr>
            </w:pPr>
            <w:r>
              <w:rPr>
                <w:rFonts w:hint="eastAsia" w:ascii="宋体" w:hAnsi="宋体"/>
                <w:color w:val="000000"/>
                <w:sz w:val="18"/>
                <w:szCs w:val="18"/>
                <w:lang w:eastAsia="zh-CN"/>
              </w:rPr>
              <w:t>采购主管；</w:t>
            </w:r>
          </w:p>
          <w:p>
            <w:pPr>
              <w:snapToGrid w:val="0"/>
              <w:spacing w:line="32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eastAsia="zh-CN"/>
              </w:rPr>
              <w:t>项目运营；</w:t>
            </w:r>
          </w:p>
        </w:tc>
        <w:tc>
          <w:tcPr>
            <w:tcW w:w="2362" w:type="dxa"/>
            <w:vAlign w:val="center"/>
          </w:tcPr>
          <w:p>
            <w:pPr>
              <w:snapToGrid w:val="0"/>
              <w:spacing w:line="320" w:lineRule="exact"/>
              <w:jc w:val="center"/>
              <w:rPr>
                <w:rFonts w:hint="eastAsia" w:ascii="宋体" w:hAnsi="宋体"/>
                <w:color w:val="000000"/>
                <w:sz w:val="18"/>
                <w:szCs w:val="18"/>
              </w:rPr>
            </w:pPr>
            <w:r>
              <w:rPr>
                <w:rFonts w:hint="eastAsia" w:ascii="宋体" w:hAnsi="宋体"/>
                <w:color w:val="000000"/>
                <w:sz w:val="18"/>
                <w:szCs w:val="18"/>
              </w:rPr>
              <w:t>1．物流师（三级），中国物流与采购联合会颁发。</w:t>
            </w:r>
          </w:p>
          <w:p>
            <w:pPr>
              <w:snapToGrid w:val="0"/>
              <w:spacing w:line="320" w:lineRule="exact"/>
              <w:jc w:val="center"/>
              <w:rPr>
                <w:rFonts w:hint="eastAsia" w:ascii="宋体" w:hAnsi="宋体"/>
                <w:color w:val="000000"/>
                <w:sz w:val="18"/>
                <w:szCs w:val="18"/>
              </w:rPr>
            </w:pPr>
            <w:r>
              <w:rPr>
                <w:rFonts w:hint="eastAsia" w:ascii="宋体" w:hAnsi="宋体"/>
                <w:color w:val="000000"/>
                <w:sz w:val="18"/>
                <w:szCs w:val="18"/>
              </w:rPr>
              <w:t>2．高级仓库管理员，中国仓储与配送协会颁发。</w:t>
            </w:r>
          </w:p>
          <w:p>
            <w:pPr>
              <w:snapToGrid w:val="0"/>
              <w:spacing w:line="320" w:lineRule="exact"/>
              <w:jc w:val="center"/>
              <w:rPr>
                <w:rFonts w:hint="eastAsia" w:ascii="宋体" w:hAnsi="宋体"/>
                <w:color w:val="000000"/>
                <w:sz w:val="18"/>
                <w:szCs w:val="18"/>
              </w:rPr>
            </w:pPr>
            <w:r>
              <w:rPr>
                <w:rFonts w:hint="eastAsia" w:ascii="宋体" w:hAnsi="宋体"/>
                <w:color w:val="000000"/>
                <w:sz w:val="18"/>
                <w:szCs w:val="18"/>
              </w:rPr>
              <w:t>3．采购师，人力资源和社会保障部颁发。</w:t>
            </w:r>
          </w:p>
          <w:p>
            <w:pPr>
              <w:snapToGrid w:val="0"/>
              <w:spacing w:line="320" w:lineRule="exact"/>
              <w:jc w:val="center"/>
              <w:rPr>
                <w:rFonts w:hint="eastAsia" w:ascii="宋体" w:hAnsi="宋体"/>
                <w:color w:val="000000"/>
                <w:sz w:val="18"/>
                <w:szCs w:val="18"/>
              </w:rPr>
            </w:pPr>
            <w:r>
              <w:rPr>
                <w:rFonts w:hint="eastAsia" w:ascii="宋体" w:hAnsi="宋体"/>
                <w:color w:val="000000"/>
                <w:sz w:val="18"/>
                <w:szCs w:val="18"/>
              </w:rPr>
              <w:t>4．叉车证，地方质量管理局颁发。</w:t>
            </w:r>
          </w:p>
          <w:p>
            <w:pPr>
              <w:snapToGrid w:val="0"/>
              <w:spacing w:line="320" w:lineRule="exact"/>
              <w:jc w:val="center"/>
              <w:rPr>
                <w:rFonts w:hint="eastAsia" w:ascii="宋体" w:hAnsi="宋体"/>
                <w:color w:val="000000"/>
                <w:sz w:val="18"/>
                <w:szCs w:val="18"/>
              </w:rPr>
            </w:pPr>
            <w:r>
              <w:rPr>
                <w:rFonts w:hint="eastAsia" w:ascii="宋体" w:hAnsi="宋体"/>
                <w:color w:val="000000"/>
                <w:sz w:val="18"/>
                <w:szCs w:val="18"/>
              </w:rPr>
              <w:t>5．物流服务师，林森物流集团有限公司。</w:t>
            </w:r>
          </w:p>
        </w:tc>
      </w:tr>
    </w:tbl>
    <w:p>
      <w:pPr>
        <w:snapToGrid w:val="0"/>
        <w:spacing w:line="560" w:lineRule="exact"/>
        <w:ind w:firstLine="602" w:firstLineChars="200"/>
        <w:outlineLvl w:val="0"/>
        <w:rPr>
          <w:rFonts w:ascii="宋体" w:hAnsi="宋体"/>
          <w:b/>
          <w:sz w:val="30"/>
          <w:szCs w:val="30"/>
        </w:rPr>
      </w:pPr>
      <w:bookmarkStart w:id="5" w:name="_Toc6611"/>
      <w:r>
        <w:rPr>
          <w:rFonts w:hint="eastAsia" w:ascii="宋体" w:hAnsi="宋体"/>
          <w:b/>
          <w:sz w:val="30"/>
          <w:szCs w:val="30"/>
        </w:rPr>
        <w:t>五、培养目标与</w:t>
      </w:r>
      <w:r>
        <w:rPr>
          <w:rFonts w:ascii="宋体" w:hAnsi="宋体"/>
          <w:b/>
          <w:sz w:val="30"/>
          <w:szCs w:val="30"/>
        </w:rPr>
        <w:t>培养规格</w:t>
      </w:r>
      <w:bookmarkEnd w:id="5"/>
    </w:p>
    <w:p>
      <w:pPr>
        <w:snapToGrid w:val="0"/>
        <w:spacing w:line="560" w:lineRule="exact"/>
        <w:ind w:firstLine="562" w:firstLineChars="200"/>
        <w:rPr>
          <w:rFonts w:ascii="宋体" w:hAnsi="宋体"/>
          <w:b/>
          <w:sz w:val="28"/>
          <w:szCs w:val="28"/>
        </w:rPr>
      </w:pPr>
      <w:r>
        <w:rPr>
          <w:rFonts w:ascii="宋体" w:hAnsi="宋体"/>
          <w:b/>
          <w:sz w:val="28"/>
          <w:szCs w:val="28"/>
        </w:rPr>
        <w:t>（一）</w:t>
      </w:r>
      <w:r>
        <w:rPr>
          <w:rFonts w:hint="eastAsia" w:ascii="宋体" w:hAnsi="宋体"/>
          <w:b/>
          <w:sz w:val="28"/>
          <w:szCs w:val="28"/>
        </w:rPr>
        <w:t>培养目标</w:t>
      </w:r>
    </w:p>
    <w:p>
      <w:pPr>
        <w:pStyle w:val="4"/>
        <w:spacing w:line="360" w:lineRule="auto"/>
      </w:pPr>
      <w:r>
        <w:rPr>
          <w:rFonts w:hint="eastAsia"/>
        </w:rPr>
        <w:t>本专业培养理想信念坚定，德、智、体、美、劳全面发展，具有一定的科学文化水平、良好的人文素养、职业道德和创新意识，劳模精神</w:t>
      </w:r>
      <w:r>
        <w:rPr>
          <w:rFonts w:hint="eastAsia"/>
          <w:lang w:eastAsia="zh-CN"/>
        </w:rPr>
        <w:t>、劳动精神、</w:t>
      </w:r>
      <w:r>
        <w:rPr>
          <w:rFonts w:hint="eastAsia"/>
        </w:rPr>
        <w:t>工匠精神，较强的就业能力和可持续发展</w:t>
      </w:r>
      <w:r>
        <w:rPr>
          <w:rFonts w:hint="eastAsia"/>
          <w:lang w:eastAsia="zh-CN"/>
        </w:rPr>
        <w:t>的能力，</w:t>
      </w:r>
      <w:r>
        <w:rPr>
          <w:rFonts w:hint="eastAsia"/>
        </w:rPr>
        <w:t>掌握</w:t>
      </w:r>
      <w:r>
        <w:rPr>
          <w:rFonts w:hint="eastAsia"/>
          <w:lang w:eastAsia="zh-CN"/>
        </w:rPr>
        <w:t>本专业知识和技术技能，面向南通及长三角地区经济主战场，立足物流企业或企业物流，具有</w:t>
      </w:r>
      <w:r>
        <w:rPr>
          <w:rFonts w:hint="eastAsia"/>
        </w:rPr>
        <w:t>物流信息收集与处理、仓储与配送管理、运输车辆调度与线路规划等专业技术，</w:t>
      </w:r>
      <w:r>
        <w:rPr>
          <w:rFonts w:hint="eastAsia"/>
          <w:lang w:eastAsia="zh-CN"/>
        </w:rPr>
        <w:t>进行</w:t>
      </w:r>
      <w:r>
        <w:rPr>
          <w:rFonts w:hint="eastAsia"/>
        </w:rPr>
        <w:t>物流活动组织、物流作业协调、物流过程控制，以及物流市场开发、物流客户服务等专业能力，</w:t>
      </w:r>
      <w:r>
        <w:rPr>
          <w:rFonts w:hint="eastAsia"/>
          <w:lang w:eastAsia="zh-CN"/>
        </w:rPr>
        <w:t>能从事仓储保管、运输调度、货运代理、采购业务、物流营销、物流客服、项目运营、低空物流运营等岗位，</w:t>
      </w:r>
      <w:r>
        <w:rPr>
          <w:rFonts w:hint="eastAsia"/>
        </w:rPr>
        <w:t>能够适应生产、建设、管理和服务一线需要的高素质技术技能型人才。</w:t>
      </w:r>
    </w:p>
    <w:p>
      <w:pPr>
        <w:snapToGrid w:val="0"/>
        <w:spacing w:line="560" w:lineRule="exact"/>
        <w:ind w:firstLine="562" w:firstLineChars="200"/>
        <w:rPr>
          <w:rFonts w:ascii="宋体" w:hAnsi="宋体"/>
          <w:b/>
          <w:sz w:val="28"/>
          <w:szCs w:val="28"/>
        </w:rPr>
      </w:pPr>
      <w:r>
        <w:rPr>
          <w:rFonts w:ascii="宋体" w:hAnsi="宋体"/>
          <w:b/>
          <w:sz w:val="28"/>
          <w:szCs w:val="28"/>
        </w:rPr>
        <w:t>（二）</w:t>
      </w:r>
      <w:r>
        <w:rPr>
          <w:rFonts w:hint="eastAsia" w:ascii="宋体" w:hAnsi="宋体"/>
          <w:b/>
          <w:sz w:val="28"/>
          <w:szCs w:val="28"/>
        </w:rPr>
        <w:t>培养规格</w:t>
      </w:r>
    </w:p>
    <w:p>
      <w:pPr>
        <w:snapToGrid w:val="0"/>
        <w:spacing w:line="56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．素质</w:t>
      </w:r>
      <w:r>
        <w:rPr>
          <w:rFonts w:ascii="宋体" w:hAnsi="宋体"/>
          <w:b/>
          <w:sz w:val="24"/>
          <w:szCs w:val="24"/>
        </w:rPr>
        <w:t>要求</w:t>
      </w:r>
    </w:p>
    <w:p>
      <w:pPr>
        <w:pStyle w:val="17"/>
        <w:spacing w:line="500" w:lineRule="exact"/>
        <w:ind w:firstLine="480"/>
        <w:rPr>
          <w:rFonts w:hint="eastAsia" w:ascii="宋体" w:hAnsi="宋体" w:eastAsia="宋体" w:cs="Times New Roman"/>
          <w:sz w:val="24"/>
          <w:szCs w:val="24"/>
          <w:u w:val="none"/>
        </w:rPr>
      </w:pPr>
      <w:r>
        <w:rPr>
          <w:rFonts w:hint="eastAsia" w:ascii="宋体" w:hAnsi="宋体" w:eastAsia="宋体"/>
          <w:sz w:val="24"/>
          <w:szCs w:val="24"/>
          <w:u w:val="none"/>
        </w:rPr>
        <w:t>坚定拥护中国共产党的领导和我国社会主义制度，在习近平新时代中国特色社会主义思想指引下，践行社会主义核心价值观，具有深厚的爱国情感和中华民族自豪感</w:t>
      </w:r>
      <w:r>
        <w:rPr>
          <w:rFonts w:hint="eastAsia" w:ascii="宋体" w:hAnsi="宋体"/>
          <w:sz w:val="24"/>
          <w:szCs w:val="24"/>
          <w:u w:val="none"/>
          <w:lang w:eastAsia="zh-CN"/>
        </w:rPr>
        <w:t>，</w:t>
      </w:r>
      <w:r>
        <w:rPr>
          <w:rFonts w:hint="eastAsia" w:ascii="宋体" w:hAnsi="宋体" w:eastAsia="宋体" w:cs="Times New Roman"/>
          <w:sz w:val="24"/>
          <w:szCs w:val="24"/>
          <w:u w:val="none"/>
          <w:lang w:val="en-US" w:eastAsia="zh-CN"/>
        </w:rPr>
        <w:t>能成为中国特色社会主义合格建设者和可靠接班人，担当民族复兴大任的时代新人</w:t>
      </w:r>
      <w:r>
        <w:rPr>
          <w:rFonts w:hint="eastAsia" w:ascii="宋体" w:hAnsi="宋体" w:eastAsia="宋体" w:cs="Times New Roman"/>
          <w:sz w:val="24"/>
          <w:szCs w:val="24"/>
          <w:u w:val="none"/>
        </w:rPr>
        <w:t>。</w:t>
      </w:r>
    </w:p>
    <w:p>
      <w:pPr>
        <w:pStyle w:val="17"/>
        <w:spacing w:line="500" w:lineRule="exact"/>
        <w:ind w:firstLine="480"/>
        <w:rPr>
          <w:sz w:val="24"/>
          <w:szCs w:val="24"/>
        </w:rPr>
      </w:pPr>
      <w:r>
        <w:rPr>
          <w:rFonts w:hint="eastAsia" w:ascii="宋体" w:hAnsi="宋体" w:eastAsia="宋体"/>
          <w:sz w:val="24"/>
          <w:szCs w:val="24"/>
          <w:u w:val="none"/>
        </w:rPr>
        <w:t>崇尚宪法、遵法守纪、崇德向善、诚实守信、尊重生命、热爱劳动，履行</w:t>
      </w:r>
      <w:r>
        <w:rPr>
          <w:rFonts w:hint="eastAsia"/>
          <w:sz w:val="24"/>
          <w:szCs w:val="24"/>
        </w:rPr>
        <w:t>道德准则和行为规范，具有社会责任感和社会参与意识。</w:t>
      </w:r>
    </w:p>
    <w:p>
      <w:pPr>
        <w:pStyle w:val="17"/>
        <w:spacing w:line="500" w:lineRule="exact"/>
        <w:ind w:firstLine="480"/>
        <w:rPr>
          <w:sz w:val="24"/>
          <w:szCs w:val="24"/>
        </w:rPr>
      </w:pPr>
      <w:r>
        <w:rPr>
          <w:rFonts w:hint="eastAsia"/>
          <w:sz w:val="24"/>
          <w:szCs w:val="24"/>
        </w:rPr>
        <w:t>具有质量意识、环保意识、安全意识、信息素养、工匠精神、创新思维。</w:t>
      </w:r>
    </w:p>
    <w:p>
      <w:pPr>
        <w:pStyle w:val="17"/>
        <w:spacing w:line="500" w:lineRule="exact"/>
        <w:ind w:firstLine="480"/>
        <w:rPr>
          <w:rFonts w:hint="eastAsia" w:ascii="宋体" w:hAnsi="宋体" w:eastAsia="宋体"/>
          <w:sz w:val="24"/>
          <w:szCs w:val="24"/>
          <w:u w:val="none"/>
        </w:rPr>
      </w:pPr>
      <w:r>
        <w:rPr>
          <w:rFonts w:hint="eastAsia"/>
          <w:sz w:val="24"/>
          <w:szCs w:val="24"/>
        </w:rPr>
        <w:t>勇于奋斗、乐观向上，具有自我管理能力、职业生涯规划的意识，有较强</w:t>
      </w:r>
      <w:r>
        <w:rPr>
          <w:rFonts w:hint="eastAsia" w:ascii="宋体" w:hAnsi="宋体" w:eastAsia="宋体"/>
          <w:sz w:val="24"/>
          <w:szCs w:val="24"/>
          <w:u w:val="none"/>
        </w:rPr>
        <w:t>的集体意识和团队合作精神。</w:t>
      </w:r>
    </w:p>
    <w:p>
      <w:pPr>
        <w:pStyle w:val="17"/>
        <w:spacing w:line="500" w:lineRule="exact"/>
        <w:ind w:firstLine="480"/>
        <w:rPr>
          <w:rFonts w:hint="eastAsia"/>
          <w:sz w:val="24"/>
          <w:szCs w:val="24"/>
        </w:rPr>
      </w:pPr>
      <w:r>
        <w:rPr>
          <w:rFonts w:hint="eastAsia" w:ascii="宋体" w:hAnsi="宋体" w:eastAsia="宋体"/>
          <w:sz w:val="24"/>
          <w:szCs w:val="24"/>
          <w:u w:val="none"/>
        </w:rPr>
        <w:t>具有健康的体魄、心理和健全的人格，掌握基本运动知识和1-2项运动技能，</w:t>
      </w:r>
      <w:r>
        <w:rPr>
          <w:rFonts w:hint="eastAsia"/>
          <w:spacing w:val="-4"/>
          <w:sz w:val="24"/>
          <w:szCs w:val="24"/>
        </w:rPr>
        <w:t>养</w:t>
      </w:r>
      <w:r>
        <w:rPr>
          <w:rFonts w:hint="eastAsia"/>
          <w:sz w:val="24"/>
          <w:szCs w:val="24"/>
        </w:rPr>
        <w:t>成良好的健身与卫生习惯，以及良好的行为习惯。</w:t>
      </w:r>
    </w:p>
    <w:p>
      <w:pPr>
        <w:pStyle w:val="17"/>
        <w:spacing w:line="500" w:lineRule="exact"/>
        <w:ind w:firstLine="480"/>
        <w:rPr>
          <w:rFonts w:hint="eastAsia" w:eastAsia="宋体"/>
          <w:sz w:val="24"/>
          <w:szCs w:val="24"/>
          <w:lang w:eastAsia="zh-CN"/>
        </w:rPr>
      </w:pPr>
      <w:r>
        <w:rPr>
          <w:rFonts w:hint="eastAsia"/>
          <w:sz w:val="24"/>
          <w:szCs w:val="24"/>
        </w:rPr>
        <w:t>具有一定的审美和人文素养，能够形成1-2项艺术特长或爱好</w:t>
      </w:r>
      <w:r>
        <w:rPr>
          <w:rFonts w:hint="eastAsia"/>
          <w:sz w:val="24"/>
          <w:szCs w:val="24"/>
          <w:lang w:eastAsia="zh-CN"/>
        </w:rPr>
        <w:t>。</w:t>
      </w:r>
    </w:p>
    <w:p>
      <w:pPr>
        <w:snapToGrid w:val="0"/>
        <w:spacing w:line="560" w:lineRule="exact"/>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．知识</w:t>
      </w:r>
      <w:r>
        <w:rPr>
          <w:rFonts w:ascii="宋体" w:hAnsi="宋体"/>
          <w:b/>
          <w:sz w:val="24"/>
          <w:szCs w:val="24"/>
        </w:rPr>
        <w:t>要求</w:t>
      </w:r>
    </w:p>
    <w:p>
      <w:pPr>
        <w:spacing w:line="360" w:lineRule="auto"/>
        <w:ind w:firstLine="480" w:firstLineChars="200"/>
        <w:jc w:val="left"/>
        <w:rPr>
          <w:rFonts w:hint="eastAsia"/>
          <w:kern w:val="24"/>
          <w:sz w:val="24"/>
          <w:szCs w:val="24"/>
        </w:rPr>
      </w:pPr>
      <w:r>
        <w:rPr>
          <w:rFonts w:hint="eastAsia"/>
          <w:sz w:val="24"/>
          <w:szCs w:val="24"/>
        </w:rPr>
        <w:t>了解中国传统商业文化和世界经济发展趋势、熟悉市场经济规则。</w:t>
      </w:r>
    </w:p>
    <w:p>
      <w:pPr>
        <w:spacing w:line="360" w:lineRule="auto"/>
        <w:ind w:firstLine="480" w:firstLineChars="200"/>
        <w:jc w:val="left"/>
        <w:rPr>
          <w:rFonts w:hint="eastAsia"/>
          <w:sz w:val="24"/>
          <w:szCs w:val="24"/>
        </w:rPr>
      </w:pPr>
      <w:r>
        <w:rPr>
          <w:rFonts w:hint="eastAsia"/>
          <w:sz w:val="24"/>
          <w:szCs w:val="24"/>
          <w:lang w:eastAsia="zh-CN"/>
        </w:rPr>
        <w:t>理解</w:t>
      </w:r>
      <w:r>
        <w:rPr>
          <w:rFonts w:hint="eastAsia"/>
          <w:sz w:val="24"/>
          <w:szCs w:val="24"/>
        </w:rPr>
        <w:t>必备的思想政治理论、科学文化基础知识和中华优秀传统文化知识。</w:t>
      </w:r>
    </w:p>
    <w:p>
      <w:pPr>
        <w:spacing w:line="360" w:lineRule="auto"/>
        <w:ind w:firstLine="480" w:firstLineChars="200"/>
        <w:jc w:val="left"/>
        <w:rPr>
          <w:rFonts w:hint="eastAsia"/>
          <w:kern w:val="24"/>
          <w:sz w:val="24"/>
          <w:szCs w:val="24"/>
        </w:rPr>
      </w:pPr>
      <w:r>
        <w:rPr>
          <w:rFonts w:hint="eastAsia"/>
          <w:sz w:val="24"/>
          <w:szCs w:val="24"/>
          <w:lang w:eastAsia="zh-CN"/>
        </w:rPr>
        <w:t>理解</w:t>
      </w:r>
      <w:r>
        <w:rPr>
          <w:rFonts w:hint="eastAsia"/>
          <w:sz w:val="24"/>
          <w:szCs w:val="24"/>
        </w:rPr>
        <w:t>与物流专业相关的法律法规以及环境保护、安全消防等知识。</w:t>
      </w:r>
    </w:p>
    <w:p>
      <w:pPr>
        <w:spacing w:line="360" w:lineRule="auto"/>
        <w:ind w:firstLine="480" w:firstLineChars="200"/>
        <w:jc w:val="left"/>
        <w:rPr>
          <w:rFonts w:hint="eastAsia"/>
          <w:sz w:val="24"/>
          <w:szCs w:val="24"/>
        </w:rPr>
      </w:pPr>
      <w:r>
        <w:rPr>
          <w:rFonts w:hint="eastAsia"/>
          <w:sz w:val="24"/>
          <w:szCs w:val="24"/>
        </w:rPr>
        <w:t>掌握物流市场分析、客户服务管理的基本知识和方法。</w:t>
      </w:r>
    </w:p>
    <w:p>
      <w:pPr>
        <w:spacing w:line="360" w:lineRule="auto"/>
        <w:ind w:firstLine="480" w:firstLineChars="200"/>
        <w:rPr>
          <w:sz w:val="24"/>
          <w:szCs w:val="24"/>
        </w:rPr>
      </w:pPr>
      <w:r>
        <w:rPr>
          <w:rFonts w:hint="eastAsia"/>
          <w:sz w:val="24"/>
          <w:szCs w:val="24"/>
        </w:rPr>
        <w:t>掌握物流系统的构成要素、具备供应链管理的基本知识。</w:t>
      </w:r>
    </w:p>
    <w:p>
      <w:pPr>
        <w:spacing w:line="360" w:lineRule="auto"/>
        <w:ind w:firstLine="480" w:firstLineChars="200"/>
        <w:rPr>
          <w:sz w:val="24"/>
          <w:szCs w:val="24"/>
        </w:rPr>
      </w:pPr>
      <w:r>
        <w:rPr>
          <w:rFonts w:hint="eastAsia"/>
          <w:sz w:val="24"/>
          <w:szCs w:val="24"/>
        </w:rPr>
        <w:t>掌握物流货品分类与质量管理的基本知识与技术方法。</w:t>
      </w:r>
    </w:p>
    <w:p>
      <w:pPr>
        <w:widowControl/>
        <w:spacing w:line="360" w:lineRule="auto"/>
        <w:ind w:firstLine="480" w:firstLineChars="200"/>
        <w:jc w:val="left"/>
        <w:rPr>
          <w:rFonts w:hint="eastAsia"/>
          <w:sz w:val="24"/>
          <w:szCs w:val="24"/>
        </w:rPr>
      </w:pPr>
      <w:r>
        <w:rPr>
          <w:rFonts w:hint="eastAsia"/>
          <w:sz w:val="24"/>
          <w:szCs w:val="24"/>
        </w:rPr>
        <w:t>掌握物流运作的基本知识与方法。</w:t>
      </w:r>
    </w:p>
    <w:p>
      <w:pPr>
        <w:spacing w:line="360" w:lineRule="auto"/>
        <w:ind w:firstLine="480" w:firstLineChars="200"/>
        <w:jc w:val="left"/>
        <w:rPr>
          <w:sz w:val="24"/>
          <w:szCs w:val="24"/>
        </w:rPr>
      </w:pPr>
      <w:r>
        <w:rPr>
          <w:rFonts w:hint="eastAsia"/>
          <w:sz w:val="24"/>
          <w:szCs w:val="24"/>
        </w:rPr>
        <w:t>掌握物流作业及现场管理的基本流程和优化方法。</w:t>
      </w:r>
    </w:p>
    <w:p>
      <w:pPr>
        <w:spacing w:line="360" w:lineRule="auto"/>
        <w:ind w:firstLine="480" w:firstLineChars="200"/>
        <w:jc w:val="left"/>
        <w:rPr>
          <w:sz w:val="24"/>
          <w:szCs w:val="24"/>
        </w:rPr>
      </w:pPr>
      <w:r>
        <w:rPr>
          <w:rFonts w:hint="eastAsia"/>
          <w:sz w:val="24"/>
          <w:szCs w:val="24"/>
        </w:rPr>
        <w:t>掌握物流成本控制的基本知识与方法。</w:t>
      </w:r>
    </w:p>
    <w:p>
      <w:pPr>
        <w:spacing w:line="360" w:lineRule="auto"/>
        <w:ind w:firstLine="480" w:firstLineChars="200"/>
        <w:jc w:val="left"/>
        <w:rPr>
          <w:sz w:val="24"/>
          <w:szCs w:val="24"/>
        </w:rPr>
      </w:pPr>
      <w:r>
        <w:rPr>
          <w:sz w:val="24"/>
          <w:szCs w:val="24"/>
        </w:rPr>
        <w:t>掌握</w:t>
      </w:r>
      <w:r>
        <w:rPr>
          <w:rFonts w:hint="eastAsia"/>
          <w:sz w:val="24"/>
          <w:szCs w:val="24"/>
        </w:rPr>
        <w:t>现代物流信息技术运用的基本知识与方法。</w:t>
      </w:r>
    </w:p>
    <w:p>
      <w:pPr>
        <w:spacing w:line="360" w:lineRule="auto"/>
        <w:ind w:firstLine="480" w:firstLineChars="200"/>
        <w:jc w:val="left"/>
        <w:rPr>
          <w:sz w:val="24"/>
          <w:szCs w:val="24"/>
        </w:rPr>
      </w:pPr>
      <w:r>
        <w:rPr>
          <w:rFonts w:hint="eastAsia"/>
          <w:sz w:val="24"/>
          <w:szCs w:val="24"/>
        </w:rPr>
        <w:t>熟悉大数据、智慧物流、物联网等现代物流发展的新知识、新技术。</w:t>
      </w:r>
    </w:p>
    <w:p>
      <w:pPr>
        <w:snapToGrid w:val="0"/>
        <w:spacing w:line="560" w:lineRule="exact"/>
        <w:ind w:firstLine="482" w:firstLineChars="200"/>
        <w:rPr>
          <w:rFonts w:ascii="宋体" w:hAnsi="宋体"/>
          <w:b/>
          <w:sz w:val="24"/>
          <w:szCs w:val="24"/>
        </w:rPr>
      </w:pPr>
      <w:r>
        <w:rPr>
          <w:rFonts w:ascii="宋体" w:hAnsi="宋体"/>
          <w:b/>
          <w:sz w:val="24"/>
          <w:szCs w:val="24"/>
        </w:rPr>
        <w:t>3</w:t>
      </w:r>
      <w:r>
        <w:rPr>
          <w:rFonts w:hint="eastAsia" w:ascii="宋体" w:hAnsi="宋体"/>
          <w:b/>
          <w:sz w:val="24"/>
          <w:szCs w:val="24"/>
        </w:rPr>
        <w:t>．</w:t>
      </w:r>
      <w:r>
        <w:rPr>
          <w:rFonts w:ascii="宋体" w:hAnsi="宋体"/>
          <w:b/>
          <w:sz w:val="24"/>
          <w:szCs w:val="24"/>
        </w:rPr>
        <w:t>能力要求</w:t>
      </w:r>
    </w:p>
    <w:p>
      <w:pPr>
        <w:spacing w:line="360" w:lineRule="auto"/>
        <w:ind w:firstLine="480" w:firstLineChars="200"/>
        <w:jc w:val="left"/>
        <w:rPr>
          <w:rFonts w:hint="eastAsia"/>
          <w:sz w:val="24"/>
          <w:szCs w:val="24"/>
        </w:rPr>
      </w:pPr>
      <w:r>
        <w:rPr>
          <w:rFonts w:hint="eastAsia"/>
          <w:sz w:val="24"/>
          <w:szCs w:val="24"/>
        </w:rPr>
        <w:t>具有探究学习、终</w:t>
      </w:r>
      <w:r>
        <w:rPr>
          <w:rFonts w:hint="eastAsia"/>
          <w:sz w:val="24"/>
          <w:szCs w:val="24"/>
          <w:lang w:eastAsia="zh-CN"/>
        </w:rPr>
        <w:t>身</w:t>
      </w:r>
      <w:r>
        <w:rPr>
          <w:rFonts w:hint="eastAsia"/>
          <w:sz w:val="24"/>
          <w:szCs w:val="24"/>
        </w:rPr>
        <w:t>学习、分析问题和解决问题的能力。</w:t>
      </w:r>
    </w:p>
    <w:p>
      <w:pPr>
        <w:spacing w:line="360" w:lineRule="auto"/>
        <w:ind w:firstLine="480" w:firstLineChars="200"/>
        <w:jc w:val="left"/>
        <w:rPr>
          <w:sz w:val="24"/>
          <w:szCs w:val="24"/>
        </w:rPr>
      </w:pPr>
      <w:r>
        <w:rPr>
          <w:rFonts w:hint="eastAsia"/>
          <w:sz w:val="24"/>
          <w:szCs w:val="24"/>
        </w:rPr>
        <w:t>具有良好的语言、文字表达能力和沟通的能力。</w:t>
      </w:r>
    </w:p>
    <w:p>
      <w:pPr>
        <w:spacing w:line="360" w:lineRule="auto"/>
        <w:ind w:firstLine="480" w:firstLineChars="200"/>
        <w:jc w:val="left"/>
        <w:rPr>
          <w:sz w:val="24"/>
          <w:szCs w:val="24"/>
        </w:rPr>
      </w:pPr>
      <w:r>
        <w:rPr>
          <w:rFonts w:hint="eastAsia"/>
          <w:sz w:val="24"/>
          <w:szCs w:val="24"/>
        </w:rPr>
        <w:t>具有运用英语处理简单的英文函件、单证的能力。</w:t>
      </w:r>
    </w:p>
    <w:p>
      <w:pPr>
        <w:spacing w:line="360" w:lineRule="auto"/>
        <w:ind w:firstLine="480" w:firstLineChars="200"/>
        <w:jc w:val="left"/>
        <w:rPr>
          <w:rFonts w:hint="eastAsia"/>
          <w:kern w:val="24"/>
          <w:sz w:val="24"/>
          <w:szCs w:val="24"/>
        </w:rPr>
      </w:pPr>
      <w:r>
        <w:rPr>
          <w:rFonts w:hint="eastAsia"/>
          <w:sz w:val="24"/>
          <w:szCs w:val="24"/>
        </w:rPr>
        <w:t>具有熟练运用O</w:t>
      </w:r>
      <w:r>
        <w:rPr>
          <w:sz w:val="24"/>
          <w:szCs w:val="24"/>
        </w:rPr>
        <w:t>ffice</w:t>
      </w:r>
      <w:r>
        <w:rPr>
          <w:rFonts w:hint="eastAsia"/>
          <w:sz w:val="24"/>
          <w:szCs w:val="24"/>
        </w:rPr>
        <w:t>等办公软件，进行文档编辑、数据处理、演示汇报的能力。</w:t>
      </w:r>
    </w:p>
    <w:p>
      <w:pPr>
        <w:spacing w:line="360" w:lineRule="auto"/>
        <w:ind w:firstLine="480" w:firstLineChars="200"/>
        <w:jc w:val="left"/>
        <w:rPr>
          <w:rFonts w:hint="eastAsia"/>
          <w:sz w:val="24"/>
          <w:szCs w:val="24"/>
        </w:rPr>
      </w:pPr>
      <w:r>
        <w:rPr>
          <w:rFonts w:hint="eastAsia"/>
          <w:sz w:val="24"/>
          <w:szCs w:val="24"/>
        </w:rPr>
        <w:t>具有对物流市场进行分析，能够实施有效客户</w:t>
      </w:r>
      <w:r>
        <w:rPr>
          <w:rFonts w:hint="eastAsia"/>
          <w:sz w:val="24"/>
          <w:szCs w:val="24"/>
          <w:lang w:eastAsia="zh-CN"/>
        </w:rPr>
        <w:t>培育与</w:t>
      </w:r>
      <w:r>
        <w:rPr>
          <w:rFonts w:hint="eastAsia"/>
          <w:sz w:val="24"/>
          <w:szCs w:val="24"/>
        </w:rPr>
        <w:t>服务的能力。</w:t>
      </w:r>
    </w:p>
    <w:p>
      <w:pPr>
        <w:spacing w:line="360" w:lineRule="auto"/>
        <w:ind w:firstLine="480" w:firstLineChars="200"/>
        <w:rPr>
          <w:sz w:val="24"/>
          <w:szCs w:val="24"/>
        </w:rPr>
      </w:pPr>
      <w:r>
        <w:rPr>
          <w:rFonts w:hint="eastAsia"/>
          <w:sz w:val="24"/>
          <w:szCs w:val="24"/>
        </w:rPr>
        <w:t>具有进行良好的沟通和采购谈判的能力。</w:t>
      </w:r>
    </w:p>
    <w:p>
      <w:pPr>
        <w:widowControl/>
        <w:spacing w:line="360" w:lineRule="auto"/>
        <w:ind w:firstLine="480" w:firstLineChars="200"/>
        <w:jc w:val="left"/>
        <w:rPr>
          <w:sz w:val="24"/>
          <w:szCs w:val="24"/>
        </w:rPr>
      </w:pPr>
      <w:r>
        <w:rPr>
          <w:rFonts w:hint="eastAsia"/>
          <w:sz w:val="24"/>
          <w:szCs w:val="24"/>
        </w:rPr>
        <w:t>具有有效进行仓储作业管理、配送作业管理、运输作业管理的能力。</w:t>
      </w:r>
    </w:p>
    <w:p>
      <w:pPr>
        <w:spacing w:line="360" w:lineRule="auto"/>
        <w:ind w:firstLine="480" w:firstLineChars="200"/>
        <w:rPr>
          <w:sz w:val="24"/>
          <w:szCs w:val="24"/>
        </w:rPr>
      </w:pPr>
      <w:r>
        <w:rPr>
          <w:rFonts w:hint="eastAsia"/>
          <w:sz w:val="24"/>
          <w:szCs w:val="24"/>
        </w:rPr>
        <w:t>具有进行精准的物流成本核算与分析控制的能力。</w:t>
      </w:r>
    </w:p>
    <w:p>
      <w:pPr>
        <w:spacing w:line="360" w:lineRule="auto"/>
        <w:ind w:firstLine="480" w:firstLineChars="200"/>
        <w:jc w:val="left"/>
        <w:rPr>
          <w:rFonts w:hint="eastAsia"/>
          <w:sz w:val="24"/>
          <w:szCs w:val="24"/>
        </w:rPr>
      </w:pPr>
      <w:r>
        <w:rPr>
          <w:rFonts w:hint="eastAsia"/>
          <w:sz w:val="24"/>
          <w:szCs w:val="24"/>
        </w:rPr>
        <w:t>具有运用大数据、智慧物流、物流网等先进技术提升物流运作效率，并运用物流信息技术解决物流问题的能力。</w:t>
      </w:r>
    </w:p>
    <w:tbl>
      <w:tblPr>
        <w:tblStyle w:val="11"/>
        <w:tblpPr w:leftFromText="180" w:rightFromText="180" w:vertAnchor="text" w:tblpX="10596" w:tblpY="364"/>
        <w:tblOverlap w:val="never"/>
        <w:tblW w:w="2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508" w:type="dxa"/>
          </w:tcPr>
          <w:p>
            <w:pPr>
              <w:spacing w:line="360" w:lineRule="auto"/>
              <w:jc w:val="left"/>
              <w:rPr>
                <w:rFonts w:hint="eastAsia"/>
                <w:sz w:val="24"/>
                <w:szCs w:val="24"/>
                <w:vertAlign w:val="baseline"/>
              </w:rPr>
            </w:pPr>
          </w:p>
        </w:tc>
      </w:tr>
    </w:tbl>
    <w:p>
      <w:pPr>
        <w:spacing w:line="360" w:lineRule="auto"/>
        <w:ind w:firstLine="480" w:firstLineChars="200"/>
        <w:jc w:val="left"/>
        <w:rPr>
          <w:sz w:val="24"/>
          <w:szCs w:val="24"/>
        </w:rPr>
      </w:pPr>
      <w:r>
        <w:rPr>
          <w:rFonts w:hint="eastAsia"/>
          <w:sz w:val="24"/>
          <w:szCs w:val="24"/>
        </w:rPr>
        <w:t>具有熟练运用E</w:t>
      </w:r>
      <w:r>
        <w:rPr>
          <w:sz w:val="24"/>
          <w:szCs w:val="24"/>
        </w:rPr>
        <w:t>RP</w:t>
      </w:r>
      <w:r>
        <w:rPr>
          <w:rFonts w:hint="eastAsia"/>
          <w:sz w:val="24"/>
          <w:szCs w:val="24"/>
        </w:rPr>
        <w:t>系统提高企业物流管理效率的能力。</w:t>
      </w:r>
    </w:p>
    <w:p>
      <w:pPr>
        <w:spacing w:line="360" w:lineRule="auto"/>
        <w:ind w:firstLine="480" w:firstLineChars="200"/>
        <w:jc w:val="left"/>
        <w:rPr>
          <w:sz w:val="24"/>
          <w:szCs w:val="24"/>
        </w:rPr>
      </w:pPr>
      <w:bookmarkStart w:id="6" w:name="_Hlk46240703"/>
      <w:r>
        <w:rPr>
          <w:rFonts w:hint="eastAsia"/>
          <w:sz w:val="24"/>
          <w:szCs w:val="24"/>
        </w:rPr>
        <w:t>具有运用供应链整合设计理念解决企业实际问题的能力。</w:t>
      </w:r>
    </w:p>
    <w:bookmarkEnd w:id="6"/>
    <w:p>
      <w:pPr>
        <w:spacing w:line="360" w:lineRule="auto"/>
        <w:ind w:firstLine="480" w:firstLineChars="200"/>
        <w:jc w:val="left"/>
        <w:rPr>
          <w:sz w:val="24"/>
          <w:szCs w:val="24"/>
        </w:rPr>
      </w:pPr>
      <w:r>
        <w:rPr>
          <w:rFonts w:hint="eastAsia"/>
          <w:sz w:val="24"/>
          <w:szCs w:val="24"/>
        </w:rPr>
        <w:t>具有使用智能工具进行业务分析处理的能力。</w:t>
      </w:r>
    </w:p>
    <w:p>
      <w:pPr>
        <w:snapToGrid w:val="0"/>
        <w:spacing w:line="560" w:lineRule="exact"/>
        <w:ind w:firstLine="562" w:firstLineChars="200"/>
        <w:rPr>
          <w:rFonts w:ascii="宋体" w:hAnsi="宋体"/>
          <w:b/>
          <w:sz w:val="28"/>
          <w:szCs w:val="28"/>
        </w:rPr>
      </w:pPr>
      <w:r>
        <w:rPr>
          <w:rFonts w:hint="eastAsia" w:ascii="宋体" w:hAnsi="宋体"/>
          <w:b/>
          <w:sz w:val="28"/>
          <w:szCs w:val="28"/>
        </w:rPr>
        <w:t>（三）培养模式</w:t>
      </w:r>
    </w:p>
    <w:p>
      <w:pPr>
        <w:widowControl/>
        <w:spacing w:line="360" w:lineRule="auto"/>
        <w:ind w:firstLine="480" w:firstLineChars="200"/>
        <w:jc w:val="left"/>
        <w:rPr>
          <w:rFonts w:hint="eastAsia"/>
          <w:sz w:val="24"/>
          <w:szCs w:val="24"/>
          <w:lang w:eastAsia="zh-CN"/>
        </w:rPr>
      </w:pPr>
      <w:r>
        <w:rPr>
          <w:rFonts w:hint="eastAsia"/>
          <w:sz w:val="24"/>
          <w:szCs w:val="24"/>
          <w:lang w:eastAsia="zh-CN"/>
        </w:rPr>
        <w:t>以深化产教融合，强化校企合，服务用人单位物流业务高素质技能型人才需求作为本专业建设理念，依托产业办专业，结合岗位建设专业课程，加强双师型队伍建设，不断改善教学方法，持续提升专业教学质量与水平。</w:t>
      </w:r>
    </w:p>
    <w:p>
      <w:pPr>
        <w:numPr>
          <w:ilvl w:val="0"/>
          <w:numId w:val="0"/>
        </w:numPr>
        <w:snapToGrid w:val="0"/>
        <w:spacing w:line="560" w:lineRule="exact"/>
        <w:ind w:leftChars="200"/>
        <w:outlineLvl w:val="0"/>
        <w:rPr>
          <w:rFonts w:hint="eastAsia" w:ascii="宋体" w:hAnsi="宋体"/>
          <w:b/>
          <w:sz w:val="30"/>
          <w:szCs w:val="30"/>
        </w:rPr>
      </w:pPr>
      <w:bookmarkStart w:id="7" w:name="_Toc6338"/>
      <w:r>
        <w:rPr>
          <w:rFonts w:hint="eastAsia" w:ascii="宋体" w:hAnsi="宋体"/>
          <w:b/>
          <w:sz w:val="30"/>
          <w:szCs w:val="30"/>
          <w:lang w:eastAsia="zh-CN"/>
        </w:rPr>
        <w:t>六、</w:t>
      </w:r>
      <w:r>
        <w:rPr>
          <w:rFonts w:hint="eastAsia" w:ascii="宋体" w:hAnsi="宋体"/>
          <w:b/>
          <w:sz w:val="30"/>
          <w:szCs w:val="30"/>
        </w:rPr>
        <w:t>工作任务与职业能力分析</w:t>
      </w:r>
      <w:bookmarkEnd w:id="7"/>
    </w:p>
    <w:p>
      <w:pPr>
        <w:snapToGrid w:val="0"/>
        <w:ind w:firstLine="602" w:firstLineChars="200"/>
        <w:jc w:val="center"/>
        <w:rPr>
          <w:bCs/>
          <w:sz w:val="18"/>
          <w:szCs w:val="18"/>
        </w:rPr>
      </w:pPr>
      <w:r>
        <w:rPr>
          <w:rFonts w:hint="eastAsia" w:ascii="宋体" w:hAnsi="宋体"/>
          <w:b/>
          <w:sz w:val="30"/>
          <w:szCs w:val="30"/>
          <w:lang w:val="en-US" w:eastAsia="zh-CN"/>
        </w:rPr>
        <w:t xml:space="preserve">   </w:t>
      </w:r>
      <w:r>
        <w:rPr>
          <w:rFonts w:hint="eastAsia"/>
          <w:bCs/>
          <w:sz w:val="18"/>
          <w:szCs w:val="18"/>
        </w:rPr>
        <w:t>表2：</w:t>
      </w:r>
      <w:r>
        <w:rPr>
          <w:rFonts w:hint="eastAsia"/>
          <w:bCs/>
          <w:sz w:val="18"/>
          <w:szCs w:val="18"/>
          <w:lang w:eastAsia="zh-CN"/>
        </w:rPr>
        <w:t>现代物流管理</w:t>
      </w:r>
      <w:r>
        <w:rPr>
          <w:rFonts w:hint="eastAsia"/>
          <w:bCs/>
          <w:sz w:val="18"/>
          <w:szCs w:val="18"/>
        </w:rPr>
        <w:t>专业工作任务与职业能力分析一览表</w:t>
      </w:r>
    </w:p>
    <w:tbl>
      <w:tblPr>
        <w:tblStyle w:val="11"/>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686"/>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268" w:type="dxa"/>
            <w:vAlign w:val="top"/>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主要岗位</w:t>
            </w:r>
          </w:p>
        </w:tc>
        <w:tc>
          <w:tcPr>
            <w:tcW w:w="3686" w:type="dxa"/>
            <w:vAlign w:val="top"/>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工作任务</w:t>
            </w:r>
          </w:p>
        </w:tc>
        <w:tc>
          <w:tcPr>
            <w:tcW w:w="3172" w:type="dxa"/>
            <w:vAlign w:val="top"/>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职业能力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restart"/>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A</w:t>
            </w:r>
            <w:r>
              <w:rPr>
                <w:rFonts w:hint="eastAsia" w:ascii="宋体" w:hAnsi="宋体" w:cs="宋体"/>
                <w:color w:val="000000"/>
                <w:kern w:val="0"/>
                <w:sz w:val="18"/>
                <w:szCs w:val="18"/>
                <w:lang w:eastAsia="zh-CN"/>
              </w:rPr>
              <w:t>仓储管理业务</w:t>
            </w:r>
          </w:p>
        </w:tc>
        <w:tc>
          <w:tcPr>
            <w:tcW w:w="3686" w:type="dxa"/>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A1</w:t>
            </w:r>
            <w:r>
              <w:rPr>
                <w:rFonts w:hint="eastAsia" w:ascii="宋体" w:hAnsi="宋体" w:cs="宋体"/>
                <w:color w:val="000000"/>
                <w:kern w:val="0"/>
                <w:sz w:val="18"/>
                <w:szCs w:val="18"/>
                <w:lang w:eastAsia="zh-CN"/>
              </w:rPr>
              <w:t>仓库布局与规划</w:t>
            </w:r>
          </w:p>
          <w:p>
            <w:pPr>
              <w:widowControl/>
              <w:ind w:firstLine="1080" w:firstLineChars="600"/>
              <w:jc w:val="both"/>
              <w:rPr>
                <w:rFonts w:hint="default" w:ascii="宋体" w:hAnsi="宋体" w:eastAsia="宋体" w:cs="宋体"/>
                <w:color w:val="000000"/>
                <w:kern w:val="0"/>
                <w:sz w:val="18"/>
                <w:szCs w:val="18"/>
                <w:lang w:val="en-US" w:eastAsia="zh-CN"/>
              </w:rPr>
            </w:pPr>
          </w:p>
        </w:tc>
        <w:tc>
          <w:tcPr>
            <w:tcW w:w="3172" w:type="dxa"/>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A1-</w:t>
            </w:r>
            <w:r>
              <w:rPr>
                <w:rFonts w:hint="eastAsia" w:ascii="宋体" w:hAnsi="宋体" w:cs="宋体"/>
                <w:color w:val="000000"/>
                <w:kern w:val="0"/>
                <w:sz w:val="18"/>
                <w:szCs w:val="18"/>
                <w:lang w:val="en-US" w:eastAsia="zh-CN"/>
              </w:rPr>
              <w:t>1作出仓库功能分类</w:t>
            </w:r>
          </w:p>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A1-2</w:t>
            </w:r>
            <w:r>
              <w:rPr>
                <w:rFonts w:hint="eastAsia" w:ascii="宋体" w:hAnsi="宋体" w:cs="宋体"/>
                <w:color w:val="000000"/>
                <w:kern w:val="0"/>
                <w:sz w:val="18"/>
                <w:szCs w:val="18"/>
                <w:lang w:eastAsia="zh-CN"/>
              </w:rPr>
              <w:t>进行仓库布局规划</w:t>
            </w:r>
          </w:p>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A1-3做好</w:t>
            </w:r>
            <w:r>
              <w:rPr>
                <w:rFonts w:hint="eastAsia" w:ascii="宋体" w:hAnsi="宋体" w:cs="宋体"/>
                <w:color w:val="000000"/>
                <w:kern w:val="0"/>
                <w:sz w:val="18"/>
                <w:szCs w:val="18"/>
                <w:lang w:eastAsia="zh-CN"/>
              </w:rPr>
              <w:t>库内货位编码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vAlign w:val="center"/>
          </w:tcPr>
          <w:p>
            <w:pPr>
              <w:widowControl/>
              <w:jc w:val="center"/>
              <w:rPr>
                <w:rFonts w:ascii="宋体" w:hAnsi="宋体" w:cs="宋体"/>
                <w:color w:val="000000"/>
                <w:kern w:val="0"/>
                <w:sz w:val="18"/>
                <w:szCs w:val="18"/>
              </w:rPr>
            </w:pPr>
          </w:p>
        </w:tc>
        <w:tc>
          <w:tcPr>
            <w:tcW w:w="3686"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A2库内作业组织</w:t>
            </w:r>
          </w:p>
        </w:tc>
        <w:tc>
          <w:tcPr>
            <w:tcW w:w="3172" w:type="dxa"/>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A2-1</w:t>
            </w:r>
            <w:r>
              <w:rPr>
                <w:rFonts w:hint="eastAsia" w:ascii="宋体" w:hAnsi="宋体" w:cs="宋体"/>
                <w:color w:val="000000"/>
                <w:kern w:val="0"/>
                <w:sz w:val="18"/>
                <w:szCs w:val="18"/>
                <w:lang w:eastAsia="zh-CN"/>
              </w:rPr>
              <w:t>组织好货物入库作业</w:t>
            </w:r>
          </w:p>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A2-2组织好货物出库作业</w:t>
            </w:r>
          </w:p>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A2-3货物组托货位安排</w:t>
            </w:r>
          </w:p>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A2-4</w:t>
            </w:r>
            <w:r>
              <w:rPr>
                <w:rFonts w:hint="eastAsia" w:ascii="宋体" w:hAnsi="宋体" w:cs="宋体"/>
                <w:color w:val="000000"/>
                <w:kern w:val="0"/>
                <w:sz w:val="18"/>
                <w:szCs w:val="18"/>
                <w:lang w:eastAsia="zh-CN"/>
              </w:rPr>
              <w:t>仓储成本分析与控制</w:t>
            </w:r>
          </w:p>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A2-5</w:t>
            </w:r>
            <w:r>
              <w:rPr>
                <w:rFonts w:hint="eastAsia" w:ascii="宋体" w:hAnsi="宋体" w:cs="宋体"/>
                <w:color w:val="000000"/>
                <w:kern w:val="0"/>
                <w:sz w:val="18"/>
                <w:szCs w:val="18"/>
                <w:lang w:eastAsia="zh-CN"/>
              </w:rPr>
              <w:t>仓储管理系统维护与应用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vAlign w:val="center"/>
          </w:tcPr>
          <w:p>
            <w:pPr>
              <w:widowControl/>
              <w:jc w:val="center"/>
              <w:rPr>
                <w:rFonts w:ascii="宋体" w:hAnsi="宋体" w:cs="宋体"/>
                <w:color w:val="000000"/>
                <w:kern w:val="0"/>
                <w:sz w:val="18"/>
                <w:szCs w:val="18"/>
              </w:rPr>
            </w:pPr>
          </w:p>
        </w:tc>
        <w:tc>
          <w:tcPr>
            <w:tcW w:w="3686"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A3配送中心运作</w:t>
            </w:r>
          </w:p>
        </w:tc>
        <w:tc>
          <w:tcPr>
            <w:tcW w:w="3172"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A3-1做好配送业务处理</w:t>
            </w:r>
          </w:p>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A3-2货物分拣、包装、核验</w:t>
            </w:r>
          </w:p>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A3-3配送成本分析与控制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restart"/>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B</w:t>
            </w:r>
            <w:r>
              <w:rPr>
                <w:rFonts w:hint="eastAsia" w:ascii="宋体" w:hAnsi="宋体" w:cs="宋体"/>
                <w:color w:val="000000"/>
                <w:kern w:val="0"/>
                <w:sz w:val="18"/>
                <w:szCs w:val="18"/>
                <w:lang w:eastAsia="zh-CN"/>
              </w:rPr>
              <w:t>运输管理业务</w:t>
            </w:r>
          </w:p>
        </w:tc>
        <w:tc>
          <w:tcPr>
            <w:tcW w:w="3686"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B1运输方式选择</w:t>
            </w:r>
          </w:p>
        </w:tc>
        <w:tc>
          <w:tcPr>
            <w:tcW w:w="3172" w:type="dxa"/>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B1-1</w:t>
            </w:r>
            <w:r>
              <w:rPr>
                <w:rFonts w:hint="eastAsia" w:ascii="宋体" w:hAnsi="宋体" w:cs="宋体"/>
                <w:color w:val="000000"/>
                <w:kern w:val="0"/>
                <w:sz w:val="18"/>
                <w:szCs w:val="18"/>
                <w:lang w:eastAsia="zh-CN"/>
              </w:rPr>
              <w:t>不同运输方式的经济技术特点</w:t>
            </w:r>
          </w:p>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B1-2</w:t>
            </w:r>
            <w:r>
              <w:rPr>
                <w:rFonts w:hint="eastAsia" w:ascii="宋体" w:hAnsi="宋体" w:cs="宋体"/>
                <w:color w:val="000000"/>
                <w:kern w:val="0"/>
                <w:sz w:val="18"/>
                <w:szCs w:val="18"/>
                <w:lang w:eastAsia="zh-CN"/>
              </w:rPr>
              <w:t>运输方式的合理选择</w:t>
            </w:r>
          </w:p>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B1-3</w:t>
            </w:r>
            <w:r>
              <w:rPr>
                <w:rFonts w:hint="eastAsia" w:ascii="宋体" w:hAnsi="宋体" w:cs="宋体"/>
                <w:color w:val="000000"/>
                <w:kern w:val="0"/>
                <w:sz w:val="18"/>
                <w:szCs w:val="18"/>
                <w:lang w:eastAsia="zh-CN"/>
              </w:rPr>
              <w:t>运输成本分析与控制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vAlign w:val="center"/>
          </w:tcPr>
          <w:p>
            <w:pPr>
              <w:widowControl/>
              <w:jc w:val="center"/>
              <w:rPr>
                <w:rFonts w:ascii="宋体" w:hAnsi="宋体" w:cs="宋体"/>
                <w:color w:val="000000"/>
                <w:kern w:val="0"/>
                <w:sz w:val="18"/>
                <w:szCs w:val="18"/>
              </w:rPr>
            </w:pPr>
          </w:p>
        </w:tc>
        <w:tc>
          <w:tcPr>
            <w:tcW w:w="3686" w:type="dxa"/>
            <w:vAlign w:val="center"/>
          </w:tcPr>
          <w:p>
            <w:pPr>
              <w:widowControl/>
              <w:jc w:val="both"/>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 xml:space="preserve">            B2运输路线规划及业务处理</w:t>
            </w:r>
          </w:p>
        </w:tc>
        <w:tc>
          <w:tcPr>
            <w:tcW w:w="3172" w:type="dxa"/>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B2-1</w:t>
            </w:r>
            <w:r>
              <w:rPr>
                <w:rFonts w:hint="eastAsia" w:ascii="宋体" w:hAnsi="宋体" w:cs="宋体"/>
                <w:color w:val="000000"/>
                <w:kern w:val="0"/>
                <w:sz w:val="18"/>
                <w:szCs w:val="18"/>
                <w:lang w:eastAsia="zh-CN"/>
              </w:rPr>
              <w:t>熟悉运输路线</w:t>
            </w:r>
          </w:p>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B2-2</w:t>
            </w:r>
            <w:r>
              <w:rPr>
                <w:rFonts w:hint="eastAsia" w:ascii="宋体" w:hAnsi="宋体" w:cs="宋体"/>
                <w:color w:val="000000"/>
                <w:kern w:val="0"/>
                <w:sz w:val="18"/>
                <w:szCs w:val="18"/>
                <w:lang w:eastAsia="zh-CN"/>
              </w:rPr>
              <w:t>节约里程法的应用</w:t>
            </w:r>
          </w:p>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B2-3</w:t>
            </w:r>
            <w:r>
              <w:rPr>
                <w:rFonts w:hint="eastAsia" w:ascii="宋体" w:hAnsi="宋体" w:cs="宋体"/>
                <w:color w:val="000000"/>
                <w:kern w:val="0"/>
                <w:sz w:val="18"/>
                <w:szCs w:val="18"/>
                <w:lang w:eastAsia="zh-CN"/>
              </w:rPr>
              <w:t>物流运输管理系统维护与应用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vAlign w:val="center"/>
          </w:tcPr>
          <w:p>
            <w:pPr>
              <w:widowControl/>
              <w:jc w:val="center"/>
              <w:rPr>
                <w:rFonts w:ascii="宋体" w:hAnsi="宋体" w:cs="宋体"/>
                <w:color w:val="000000"/>
                <w:kern w:val="0"/>
                <w:sz w:val="18"/>
                <w:szCs w:val="18"/>
              </w:rPr>
            </w:pPr>
          </w:p>
        </w:tc>
        <w:tc>
          <w:tcPr>
            <w:tcW w:w="3686"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B3运输设备管理</w:t>
            </w:r>
          </w:p>
        </w:tc>
        <w:tc>
          <w:tcPr>
            <w:tcW w:w="3172" w:type="dxa"/>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B3-1</w:t>
            </w:r>
            <w:r>
              <w:rPr>
                <w:rFonts w:hint="eastAsia" w:ascii="宋体" w:hAnsi="宋体" w:cs="宋体"/>
                <w:color w:val="000000"/>
                <w:kern w:val="0"/>
                <w:sz w:val="18"/>
                <w:szCs w:val="18"/>
                <w:lang w:eastAsia="zh-CN"/>
              </w:rPr>
              <w:t>不同运输设备的性能特点</w:t>
            </w:r>
          </w:p>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B3-2</w:t>
            </w:r>
            <w:r>
              <w:rPr>
                <w:rFonts w:hint="eastAsia" w:ascii="宋体" w:hAnsi="宋体" w:cs="宋体"/>
                <w:color w:val="000000"/>
                <w:kern w:val="0"/>
                <w:sz w:val="18"/>
                <w:szCs w:val="18"/>
                <w:lang w:eastAsia="zh-CN"/>
              </w:rPr>
              <w:t>运输设备的调备与运输调度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68" w:type="dxa"/>
            <w:vMerge w:val="restart"/>
            <w:vAlign w:val="center"/>
          </w:tcPr>
          <w:p>
            <w:pPr>
              <w:widowControl/>
              <w:jc w:val="center"/>
              <w:rPr>
                <w:rFonts w:ascii="宋体" w:hAnsi="宋体" w:cs="宋体"/>
                <w:color w:val="000000"/>
                <w:kern w:val="0"/>
                <w:sz w:val="18"/>
                <w:szCs w:val="18"/>
              </w:rPr>
            </w:pPr>
          </w:p>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C.销售与客服管理业务</w:t>
            </w:r>
          </w:p>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tc>
        <w:tc>
          <w:tcPr>
            <w:tcW w:w="3686" w:type="dxa"/>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C1物流市场开发</w:t>
            </w:r>
          </w:p>
        </w:tc>
        <w:tc>
          <w:tcPr>
            <w:tcW w:w="3172"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C1-1物流市场分析与预测</w:t>
            </w:r>
          </w:p>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C1-2物流市场细分与客户分析</w:t>
            </w:r>
          </w:p>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C1-3物流市场大数据分析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268" w:type="dxa"/>
            <w:vMerge w:val="continue"/>
            <w:vAlign w:val="center"/>
          </w:tcPr>
          <w:p>
            <w:pPr>
              <w:widowControl/>
              <w:jc w:val="center"/>
              <w:rPr>
                <w:rFonts w:ascii="宋体" w:hAnsi="宋体" w:cs="宋体"/>
                <w:color w:val="000000"/>
                <w:kern w:val="0"/>
                <w:sz w:val="18"/>
                <w:szCs w:val="18"/>
              </w:rPr>
            </w:pPr>
          </w:p>
        </w:tc>
        <w:tc>
          <w:tcPr>
            <w:tcW w:w="3686" w:type="dxa"/>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C2物流营销开展</w:t>
            </w:r>
          </w:p>
        </w:tc>
        <w:tc>
          <w:tcPr>
            <w:tcW w:w="3172" w:type="dxa"/>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 xml:space="preserve">C2-1物流营销策略制定与活动开展 </w:t>
            </w:r>
          </w:p>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C2-2物流服务报价与分析</w:t>
            </w:r>
          </w:p>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C2-3物流营销洽谈与合同签订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268" w:type="dxa"/>
            <w:vMerge w:val="continue"/>
            <w:vAlign w:val="center"/>
          </w:tcPr>
          <w:p>
            <w:pPr>
              <w:widowControl/>
              <w:jc w:val="center"/>
              <w:rPr>
                <w:rFonts w:ascii="宋体" w:hAnsi="宋体" w:cs="宋体"/>
                <w:color w:val="000000"/>
                <w:kern w:val="0"/>
                <w:sz w:val="18"/>
                <w:szCs w:val="18"/>
              </w:rPr>
            </w:pPr>
          </w:p>
        </w:tc>
        <w:tc>
          <w:tcPr>
            <w:tcW w:w="3686"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C3物流客户服务</w:t>
            </w:r>
          </w:p>
        </w:tc>
        <w:tc>
          <w:tcPr>
            <w:tcW w:w="3172"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C3-1物流客户日常维护</w:t>
            </w:r>
          </w:p>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C3-2物流客户投诉受理及处理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68" w:type="dxa"/>
            <w:vMerge w:val="restart"/>
            <w:vAlign w:val="center"/>
          </w:tcPr>
          <w:p>
            <w:pPr>
              <w:widowControl/>
              <w:numPr>
                <w:ilvl w:val="0"/>
                <w:numId w:val="0"/>
              </w:numPr>
              <w:ind w:firstLine="360" w:firstLineChars="200"/>
              <w:jc w:val="both"/>
              <w:rPr>
                <w:rFonts w:hint="eastAsia" w:ascii="宋体" w:hAnsi="宋体" w:cs="宋体"/>
                <w:color w:val="000000"/>
                <w:kern w:val="0"/>
                <w:sz w:val="18"/>
                <w:szCs w:val="18"/>
                <w:lang w:val="en-US" w:eastAsia="zh-CN"/>
              </w:rPr>
            </w:pPr>
          </w:p>
          <w:p>
            <w:pPr>
              <w:widowControl/>
              <w:numPr>
                <w:ilvl w:val="0"/>
                <w:numId w:val="0"/>
              </w:numPr>
              <w:ind w:firstLine="360" w:firstLineChars="200"/>
              <w:jc w:val="both"/>
              <w:rPr>
                <w:rFonts w:hint="eastAsia" w:ascii="宋体" w:hAnsi="宋体" w:cs="宋体"/>
                <w:color w:val="000000"/>
                <w:kern w:val="0"/>
                <w:sz w:val="18"/>
                <w:szCs w:val="18"/>
                <w:lang w:val="en-US" w:eastAsia="zh-CN"/>
              </w:rPr>
            </w:pPr>
          </w:p>
          <w:p>
            <w:pPr>
              <w:widowControl/>
              <w:numPr>
                <w:ilvl w:val="0"/>
                <w:numId w:val="0"/>
              </w:numPr>
              <w:ind w:firstLine="360" w:firstLineChars="200"/>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D物流运营管理业务</w:t>
            </w:r>
          </w:p>
          <w:p>
            <w:pPr>
              <w:widowControl/>
              <w:numPr>
                <w:ilvl w:val="0"/>
                <w:numId w:val="0"/>
              </w:numPr>
              <w:jc w:val="center"/>
              <w:rPr>
                <w:rFonts w:hint="default" w:ascii="宋体" w:hAnsi="宋体" w:cs="宋体"/>
                <w:color w:val="000000"/>
                <w:kern w:val="0"/>
                <w:sz w:val="18"/>
                <w:szCs w:val="18"/>
                <w:lang w:val="en-US" w:eastAsia="zh-CN"/>
              </w:rPr>
            </w:pPr>
          </w:p>
          <w:p>
            <w:pPr>
              <w:widowControl/>
              <w:numPr>
                <w:ilvl w:val="0"/>
                <w:numId w:val="0"/>
              </w:numPr>
              <w:jc w:val="center"/>
              <w:rPr>
                <w:rFonts w:hint="default" w:ascii="宋体" w:hAnsi="宋体" w:cs="宋体"/>
                <w:color w:val="000000"/>
                <w:kern w:val="0"/>
                <w:sz w:val="18"/>
                <w:szCs w:val="18"/>
                <w:lang w:val="en-US" w:eastAsia="zh-CN"/>
              </w:rPr>
            </w:pPr>
          </w:p>
          <w:p>
            <w:pPr>
              <w:widowControl/>
              <w:numPr>
                <w:ilvl w:val="0"/>
                <w:numId w:val="0"/>
              </w:numPr>
              <w:jc w:val="center"/>
              <w:rPr>
                <w:rFonts w:hint="default" w:ascii="宋体" w:hAnsi="宋体" w:cs="宋体"/>
                <w:color w:val="000000"/>
                <w:kern w:val="0"/>
                <w:sz w:val="18"/>
                <w:szCs w:val="18"/>
                <w:lang w:val="en-US" w:eastAsia="zh-CN"/>
              </w:rPr>
            </w:pPr>
          </w:p>
          <w:p>
            <w:pPr>
              <w:widowControl/>
              <w:numPr>
                <w:ilvl w:val="0"/>
                <w:numId w:val="0"/>
              </w:numPr>
              <w:jc w:val="center"/>
              <w:rPr>
                <w:rFonts w:hint="default" w:ascii="宋体" w:hAnsi="宋体" w:cs="宋体"/>
                <w:color w:val="000000"/>
                <w:kern w:val="0"/>
                <w:sz w:val="18"/>
                <w:szCs w:val="18"/>
                <w:lang w:val="en-US" w:eastAsia="zh-CN"/>
              </w:rPr>
            </w:pPr>
          </w:p>
          <w:p>
            <w:pPr>
              <w:widowControl/>
              <w:numPr>
                <w:ilvl w:val="0"/>
                <w:numId w:val="0"/>
              </w:numPr>
              <w:jc w:val="center"/>
              <w:rPr>
                <w:rFonts w:hint="default" w:ascii="宋体" w:hAnsi="宋体" w:cs="宋体"/>
                <w:color w:val="000000"/>
                <w:kern w:val="0"/>
                <w:sz w:val="18"/>
                <w:szCs w:val="18"/>
                <w:lang w:val="en-US" w:eastAsia="zh-CN"/>
              </w:rPr>
            </w:pPr>
          </w:p>
        </w:tc>
        <w:tc>
          <w:tcPr>
            <w:tcW w:w="3686"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D1项目运营业务</w:t>
            </w:r>
          </w:p>
        </w:tc>
        <w:tc>
          <w:tcPr>
            <w:tcW w:w="3172" w:type="dxa"/>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D1-1</w:t>
            </w:r>
            <w:r>
              <w:rPr>
                <w:rFonts w:hint="eastAsia" w:ascii="宋体" w:hAnsi="宋体" w:cs="宋体"/>
                <w:color w:val="000000"/>
                <w:kern w:val="0"/>
                <w:sz w:val="18"/>
                <w:szCs w:val="18"/>
                <w:lang w:eastAsia="zh-CN"/>
              </w:rPr>
              <w:t>物流项目开发</w:t>
            </w:r>
          </w:p>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D1-2</w:t>
            </w:r>
            <w:r>
              <w:rPr>
                <w:rFonts w:hint="eastAsia" w:ascii="宋体" w:hAnsi="宋体" w:cs="宋体"/>
                <w:color w:val="000000"/>
                <w:kern w:val="0"/>
                <w:sz w:val="18"/>
                <w:szCs w:val="18"/>
                <w:lang w:eastAsia="zh-CN"/>
              </w:rPr>
              <w:t>物流项目执行与跟踪</w:t>
            </w:r>
          </w:p>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D1-3</w:t>
            </w:r>
            <w:r>
              <w:rPr>
                <w:rFonts w:hint="eastAsia" w:ascii="宋体" w:hAnsi="宋体" w:cs="宋体"/>
                <w:color w:val="000000"/>
                <w:kern w:val="0"/>
                <w:sz w:val="18"/>
                <w:szCs w:val="18"/>
                <w:lang w:eastAsia="zh-CN"/>
              </w:rPr>
              <w:t>物流项目成本管控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268" w:type="dxa"/>
            <w:vMerge w:val="continue"/>
            <w:vAlign w:val="center"/>
          </w:tcPr>
          <w:p>
            <w:pPr>
              <w:widowControl/>
              <w:numPr>
                <w:ilvl w:val="0"/>
                <w:numId w:val="0"/>
              </w:numPr>
              <w:jc w:val="center"/>
              <w:rPr>
                <w:rFonts w:hint="default" w:ascii="宋体" w:hAnsi="宋体" w:cs="宋体"/>
                <w:color w:val="000000"/>
                <w:kern w:val="0"/>
                <w:sz w:val="18"/>
                <w:szCs w:val="18"/>
                <w:lang w:val="en-US" w:eastAsia="zh-CN"/>
              </w:rPr>
            </w:pPr>
          </w:p>
        </w:tc>
        <w:tc>
          <w:tcPr>
            <w:tcW w:w="3686"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D2生产物流管理</w:t>
            </w:r>
          </w:p>
        </w:tc>
        <w:tc>
          <w:tcPr>
            <w:tcW w:w="3172" w:type="dxa"/>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D2-1</w:t>
            </w:r>
            <w:r>
              <w:rPr>
                <w:rFonts w:hint="eastAsia" w:ascii="宋体" w:hAnsi="宋体" w:cs="宋体"/>
                <w:color w:val="000000"/>
                <w:kern w:val="0"/>
                <w:sz w:val="18"/>
                <w:szCs w:val="18"/>
                <w:lang w:eastAsia="zh-CN"/>
              </w:rPr>
              <w:t>生产作业计划编制及其控制</w:t>
            </w:r>
          </w:p>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D2-2</w:t>
            </w:r>
            <w:r>
              <w:rPr>
                <w:rFonts w:hint="eastAsia" w:ascii="宋体" w:hAnsi="宋体" w:cs="宋体"/>
                <w:color w:val="000000"/>
                <w:kern w:val="0"/>
                <w:sz w:val="18"/>
                <w:szCs w:val="18"/>
                <w:lang w:eastAsia="zh-CN"/>
              </w:rPr>
              <w:t>生产现场管理方法与应用</w:t>
            </w:r>
          </w:p>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D2-3</w:t>
            </w:r>
            <w:r>
              <w:rPr>
                <w:rFonts w:hint="eastAsia" w:ascii="宋体" w:hAnsi="宋体" w:cs="宋体"/>
                <w:color w:val="000000"/>
                <w:kern w:val="0"/>
                <w:sz w:val="18"/>
                <w:szCs w:val="18"/>
                <w:lang w:eastAsia="zh-CN"/>
              </w:rPr>
              <w:t>物流加工成本分析与控制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68" w:type="dxa"/>
            <w:vMerge w:val="continue"/>
            <w:vAlign w:val="center"/>
          </w:tcPr>
          <w:p>
            <w:pPr>
              <w:widowControl/>
              <w:numPr>
                <w:ilvl w:val="0"/>
                <w:numId w:val="0"/>
              </w:numPr>
              <w:jc w:val="center"/>
              <w:rPr>
                <w:rFonts w:hint="default" w:ascii="宋体" w:hAnsi="宋体" w:cs="宋体"/>
                <w:color w:val="000000"/>
                <w:kern w:val="0"/>
                <w:sz w:val="18"/>
                <w:szCs w:val="18"/>
                <w:lang w:val="en-US" w:eastAsia="zh-CN"/>
              </w:rPr>
            </w:pPr>
          </w:p>
        </w:tc>
        <w:tc>
          <w:tcPr>
            <w:tcW w:w="3686" w:type="dxa"/>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D3</w:t>
            </w:r>
            <w:r>
              <w:rPr>
                <w:rFonts w:hint="eastAsia" w:ascii="宋体" w:hAnsi="宋体" w:cs="宋体"/>
                <w:color w:val="000000"/>
                <w:kern w:val="0"/>
                <w:sz w:val="18"/>
                <w:szCs w:val="18"/>
                <w:lang w:eastAsia="zh-CN"/>
              </w:rPr>
              <w:t>采购供应业务</w:t>
            </w:r>
          </w:p>
        </w:tc>
        <w:tc>
          <w:tcPr>
            <w:tcW w:w="3172" w:type="dxa"/>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D3-1</w:t>
            </w:r>
            <w:r>
              <w:rPr>
                <w:rFonts w:hint="eastAsia" w:ascii="宋体" w:hAnsi="宋体" w:cs="宋体"/>
                <w:color w:val="000000"/>
                <w:kern w:val="0"/>
                <w:sz w:val="18"/>
                <w:szCs w:val="18"/>
                <w:lang w:eastAsia="zh-CN"/>
              </w:rPr>
              <w:t>供应链设计与上下游企业合作</w:t>
            </w:r>
          </w:p>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D3-2</w:t>
            </w:r>
            <w:r>
              <w:rPr>
                <w:rFonts w:hint="eastAsia" w:ascii="宋体" w:hAnsi="宋体" w:cs="宋体"/>
                <w:color w:val="000000"/>
                <w:kern w:val="0"/>
                <w:sz w:val="18"/>
                <w:szCs w:val="18"/>
                <w:lang w:eastAsia="zh-CN"/>
              </w:rPr>
              <w:t>供应商开发、选择与关系管理</w:t>
            </w:r>
          </w:p>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D3-3</w:t>
            </w:r>
            <w:r>
              <w:rPr>
                <w:rFonts w:hint="eastAsia" w:ascii="宋体" w:hAnsi="宋体" w:cs="宋体"/>
                <w:color w:val="000000"/>
                <w:kern w:val="0"/>
                <w:sz w:val="18"/>
                <w:szCs w:val="18"/>
                <w:lang w:eastAsia="zh-CN"/>
              </w:rPr>
              <w:t>采购方式选择与应用</w:t>
            </w:r>
          </w:p>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D3-4</w:t>
            </w:r>
            <w:r>
              <w:rPr>
                <w:rFonts w:hint="eastAsia" w:ascii="宋体" w:hAnsi="宋体" w:cs="宋体"/>
                <w:color w:val="000000"/>
                <w:kern w:val="0"/>
                <w:sz w:val="18"/>
                <w:szCs w:val="18"/>
                <w:lang w:eastAsia="zh-CN"/>
              </w:rPr>
              <w:t>物流采购成本分析与控制</w:t>
            </w:r>
          </w:p>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D3-5</w:t>
            </w:r>
            <w:r>
              <w:rPr>
                <w:rFonts w:hint="eastAsia" w:ascii="宋体" w:hAnsi="宋体" w:cs="宋体"/>
                <w:color w:val="000000"/>
                <w:kern w:val="0"/>
                <w:sz w:val="18"/>
                <w:szCs w:val="18"/>
                <w:lang w:eastAsia="zh-CN"/>
              </w:rPr>
              <w:t>企业业务优化与再造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2268" w:type="dxa"/>
            <w:vMerge w:val="continue"/>
            <w:vAlign w:val="center"/>
          </w:tcPr>
          <w:p>
            <w:pPr>
              <w:widowControl/>
              <w:numPr>
                <w:ilvl w:val="0"/>
                <w:numId w:val="0"/>
              </w:numPr>
              <w:jc w:val="center"/>
              <w:rPr>
                <w:rFonts w:hint="default" w:ascii="宋体" w:hAnsi="宋体" w:cs="宋体"/>
                <w:color w:val="000000"/>
                <w:kern w:val="0"/>
                <w:sz w:val="18"/>
                <w:szCs w:val="18"/>
                <w:lang w:val="en-US" w:eastAsia="zh-CN"/>
              </w:rPr>
            </w:pPr>
          </w:p>
        </w:tc>
        <w:tc>
          <w:tcPr>
            <w:tcW w:w="3686"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D4</w:t>
            </w:r>
            <w:r>
              <w:rPr>
                <w:rFonts w:hint="eastAsia" w:ascii="宋体" w:hAnsi="宋体" w:cs="宋体"/>
                <w:color w:val="000000"/>
                <w:kern w:val="0"/>
                <w:sz w:val="18"/>
                <w:szCs w:val="18"/>
                <w:lang w:eastAsia="zh-CN"/>
              </w:rPr>
              <w:t>国际货代业务</w:t>
            </w:r>
          </w:p>
        </w:tc>
        <w:tc>
          <w:tcPr>
            <w:tcW w:w="3172" w:type="dxa"/>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D4-1国际海运货物业务代理</w:t>
            </w:r>
          </w:p>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D4-2国际航空货物业务代理</w:t>
            </w:r>
          </w:p>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D4-3国际陆路货代业务处理</w:t>
            </w:r>
          </w:p>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D4-4国际多式联运货代业务处理</w:t>
            </w:r>
          </w:p>
        </w:tc>
      </w:tr>
    </w:tbl>
    <w:p/>
    <w:tbl>
      <w:tblPr>
        <w:tblStyle w:val="11"/>
        <w:tblpPr w:leftFromText="180" w:rightFromText="180" w:vertAnchor="text" w:tblpX="10596" w:tblpY="-6886"/>
        <w:tblOverlap w:val="never"/>
        <w:tblW w:w="2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523" w:type="dxa"/>
          </w:tcPr>
          <w:p>
            <w:pPr>
              <w:rPr>
                <w:vertAlign w:val="baseline"/>
              </w:rPr>
            </w:pPr>
          </w:p>
        </w:tc>
      </w:tr>
    </w:tbl>
    <w:tbl>
      <w:tblPr>
        <w:tblStyle w:val="11"/>
        <w:tblpPr w:leftFromText="180" w:rightFromText="180" w:vertAnchor="text" w:tblpX="10596" w:tblpY="-6871"/>
        <w:tblOverlap w:val="never"/>
        <w:tblW w:w="2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523" w:type="dxa"/>
          </w:tcPr>
          <w:p>
            <w:pPr>
              <w:rPr>
                <w:vertAlign w:val="baseline"/>
              </w:rPr>
            </w:pPr>
          </w:p>
        </w:tc>
      </w:tr>
    </w:tbl>
    <w:tbl>
      <w:tblPr>
        <w:tblStyle w:val="11"/>
        <w:tblpPr w:leftFromText="180" w:rightFromText="180" w:vertAnchor="text" w:tblpX="10596" w:tblpY="-7932"/>
        <w:tblOverlap w:val="never"/>
        <w:tblW w:w="1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43" w:type="dxa"/>
          </w:tcPr>
          <w:p>
            <w:pPr>
              <w:rPr>
                <w:vertAlign w:val="baseline"/>
              </w:rPr>
            </w:pPr>
          </w:p>
        </w:tc>
      </w:tr>
    </w:tbl>
    <w:tbl>
      <w:tblPr>
        <w:tblStyle w:val="11"/>
        <w:tblpPr w:leftFromText="180" w:rightFromText="180" w:vertAnchor="text" w:tblpX="10596" w:tblpY="-4573"/>
        <w:tblOverlap w:val="never"/>
        <w:tblW w:w="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813" w:type="dxa"/>
          </w:tcPr>
          <w:p>
            <w:pPr>
              <w:widowControl/>
              <w:spacing w:line="440" w:lineRule="exact"/>
              <w:jc w:val="left"/>
              <w:rPr>
                <w:rFonts w:hint="eastAsia" w:ascii="宋体" w:hAnsi="宋体" w:cs="宋体"/>
                <w:b/>
                <w:color w:val="000000"/>
                <w:kern w:val="0"/>
                <w:sz w:val="24"/>
                <w:szCs w:val="24"/>
                <w:vertAlign w:val="baseline"/>
              </w:rPr>
            </w:pPr>
          </w:p>
        </w:tc>
      </w:tr>
    </w:tbl>
    <w:p>
      <w:pPr>
        <w:numPr>
          <w:ilvl w:val="0"/>
          <w:numId w:val="2"/>
        </w:numPr>
        <w:snapToGrid w:val="0"/>
        <w:ind w:firstLine="602" w:firstLineChars="200"/>
        <w:jc w:val="both"/>
        <w:outlineLvl w:val="0"/>
        <w:rPr>
          <w:rFonts w:hint="eastAsia" w:ascii="宋体" w:hAnsi="宋体"/>
          <w:b/>
          <w:sz w:val="30"/>
          <w:szCs w:val="30"/>
        </w:rPr>
      </w:pPr>
      <w:bookmarkStart w:id="8" w:name="_Toc5853"/>
      <w:r>
        <w:rPr>
          <w:rFonts w:hint="eastAsia" w:ascii="宋体" w:hAnsi="宋体"/>
          <w:b/>
          <w:sz w:val="30"/>
          <w:szCs w:val="30"/>
        </w:rPr>
        <w:t>专业核心课程设置分析</w:t>
      </w:r>
      <w:bookmarkEnd w:id="8"/>
    </w:p>
    <w:p>
      <w:pPr>
        <w:numPr>
          <w:ilvl w:val="0"/>
          <w:numId w:val="0"/>
        </w:numPr>
        <w:snapToGrid w:val="0"/>
        <w:ind w:firstLine="2340" w:firstLineChars="1300"/>
        <w:jc w:val="both"/>
        <w:rPr>
          <w:bCs/>
          <w:sz w:val="18"/>
          <w:szCs w:val="18"/>
        </w:rPr>
      </w:pPr>
      <w:r>
        <w:rPr>
          <w:rFonts w:hint="eastAsia"/>
          <w:bCs/>
          <w:sz w:val="18"/>
          <w:szCs w:val="18"/>
        </w:rPr>
        <w:t>表3：</w:t>
      </w:r>
      <w:r>
        <w:rPr>
          <w:rFonts w:hint="eastAsia"/>
          <w:bCs/>
          <w:sz w:val="18"/>
          <w:szCs w:val="18"/>
          <w:lang w:eastAsia="zh-CN"/>
        </w:rPr>
        <w:t>现代物流管理</w:t>
      </w:r>
      <w:r>
        <w:rPr>
          <w:rFonts w:hint="eastAsia"/>
          <w:bCs/>
          <w:sz w:val="18"/>
          <w:szCs w:val="18"/>
        </w:rPr>
        <w:t>专业核心课程设置分析一览表</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2428"/>
        <w:gridCol w:w="3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095" w:type="dxa"/>
          </w:tcPr>
          <w:p>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专业核心课程名称</w:t>
            </w:r>
          </w:p>
        </w:tc>
        <w:tc>
          <w:tcPr>
            <w:tcW w:w="2428" w:type="dxa"/>
          </w:tcPr>
          <w:p>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对应工作任务编号</w:t>
            </w:r>
          </w:p>
        </w:tc>
        <w:tc>
          <w:tcPr>
            <w:tcW w:w="3604" w:type="dxa"/>
          </w:tcPr>
          <w:p>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对应职业能力编号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jc w:val="both"/>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lang w:eastAsia="zh-CN"/>
              </w:rPr>
              <w:t>仓储与配送管理</w:t>
            </w:r>
          </w:p>
        </w:tc>
        <w:tc>
          <w:tcPr>
            <w:tcW w:w="2428"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A1、A2、A3</w:t>
            </w:r>
          </w:p>
        </w:tc>
        <w:tc>
          <w:tcPr>
            <w:tcW w:w="3604"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A1-</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A1-2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A1-3、</w:t>
            </w:r>
            <w:r>
              <w:rPr>
                <w:rFonts w:hint="eastAsia" w:ascii="宋体" w:hAnsi="宋体" w:cs="宋体"/>
                <w:color w:val="000000"/>
                <w:kern w:val="0"/>
                <w:sz w:val="18"/>
                <w:szCs w:val="18"/>
              </w:rPr>
              <w:t>A2-1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A2-2、A2-3、A2-4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A2-5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A3-1、A3-2、A3-3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运输管理</w:t>
            </w:r>
          </w:p>
        </w:tc>
        <w:tc>
          <w:tcPr>
            <w:tcW w:w="2428"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B1、B2、B3</w:t>
            </w:r>
          </w:p>
        </w:tc>
        <w:tc>
          <w:tcPr>
            <w:tcW w:w="3604"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B1-1、B1-2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B1-3、B2-1、B2-2、B2-3、B3-1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B3-2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物流成本管理</w:t>
            </w:r>
          </w:p>
        </w:tc>
        <w:tc>
          <w:tcPr>
            <w:tcW w:w="2428"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A2、A3、B1、C2、D1、D2、D3</w:t>
            </w:r>
          </w:p>
        </w:tc>
        <w:tc>
          <w:tcPr>
            <w:tcW w:w="3604" w:type="dxa"/>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A2-4、A3-3、C2-2、D1-3、D2-3、D3-4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采购与供应链管理</w:t>
            </w:r>
          </w:p>
        </w:tc>
        <w:tc>
          <w:tcPr>
            <w:tcW w:w="2428"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C1、D3</w:t>
            </w:r>
          </w:p>
        </w:tc>
        <w:tc>
          <w:tcPr>
            <w:tcW w:w="3604" w:type="dxa"/>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C1-2、D3-1、D3-2、D3-3、D3-4、D3-5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生产与运作管理实务</w:t>
            </w:r>
          </w:p>
        </w:tc>
        <w:tc>
          <w:tcPr>
            <w:tcW w:w="2428"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A2、A3、C1、D2</w:t>
            </w:r>
          </w:p>
        </w:tc>
        <w:tc>
          <w:tcPr>
            <w:tcW w:w="3604" w:type="dxa"/>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A2-1、A2-2、A3-2、C1-1、D2-1、D2-2、D2-3、D2-4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国际物流与货运代理</w:t>
            </w:r>
          </w:p>
        </w:tc>
        <w:tc>
          <w:tcPr>
            <w:tcW w:w="2428"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B1、B2、D4</w:t>
            </w:r>
          </w:p>
        </w:tc>
        <w:tc>
          <w:tcPr>
            <w:tcW w:w="3604" w:type="dxa"/>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B1-1、B1-2、B2-1、D4-1、D4-2、D4-3、D4-4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物流营销</w:t>
            </w:r>
          </w:p>
        </w:tc>
        <w:tc>
          <w:tcPr>
            <w:tcW w:w="2428"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C1、C2、C3</w:t>
            </w:r>
          </w:p>
        </w:tc>
        <w:tc>
          <w:tcPr>
            <w:tcW w:w="3604" w:type="dxa"/>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C1-1、C1-2、C1-3、C2-1、C2-2、C2-3、C3-1、C3-2</w:t>
            </w:r>
          </w:p>
        </w:tc>
      </w:tr>
    </w:tbl>
    <w:p>
      <w:pPr>
        <w:snapToGrid w:val="0"/>
        <w:spacing w:line="560" w:lineRule="exact"/>
        <w:ind w:firstLine="602" w:firstLineChars="200"/>
        <w:outlineLvl w:val="0"/>
        <w:rPr>
          <w:rFonts w:ascii="宋体" w:hAnsi="宋体"/>
          <w:b/>
          <w:sz w:val="30"/>
          <w:szCs w:val="30"/>
        </w:rPr>
      </w:pPr>
      <w:bookmarkStart w:id="9" w:name="_Toc705"/>
      <w:r>
        <w:rPr>
          <w:rFonts w:hint="eastAsia" w:ascii="宋体" w:hAnsi="宋体"/>
          <w:b/>
          <w:sz w:val="30"/>
          <w:szCs w:val="30"/>
        </w:rPr>
        <w:t>八</w:t>
      </w:r>
      <w:r>
        <w:rPr>
          <w:rFonts w:ascii="宋体" w:hAnsi="宋体"/>
          <w:b/>
          <w:sz w:val="30"/>
          <w:szCs w:val="30"/>
        </w:rPr>
        <w:t>、课程</w:t>
      </w:r>
      <w:r>
        <w:rPr>
          <w:rFonts w:hint="eastAsia" w:ascii="宋体" w:hAnsi="宋体"/>
          <w:b/>
          <w:sz w:val="30"/>
          <w:szCs w:val="30"/>
        </w:rPr>
        <w:t>设置及要求</w:t>
      </w:r>
      <w:bookmarkEnd w:id="9"/>
    </w:p>
    <w:p>
      <w:pPr>
        <w:snapToGrid w:val="0"/>
        <w:spacing w:line="560" w:lineRule="exact"/>
        <w:ind w:firstLine="602" w:firstLineChars="200"/>
        <w:rPr>
          <w:rFonts w:ascii="宋体" w:hAnsi="宋体"/>
          <w:b/>
          <w:sz w:val="30"/>
          <w:szCs w:val="30"/>
        </w:rPr>
      </w:pPr>
      <w:r>
        <w:rPr>
          <w:rFonts w:hint="eastAsia" w:ascii="宋体" w:hAnsi="宋体"/>
          <w:b/>
          <w:sz w:val="30"/>
          <w:szCs w:val="30"/>
        </w:rPr>
        <w:t>（一）课程体系</w:t>
      </w:r>
    </w:p>
    <w:p>
      <w:pPr>
        <w:widowControl/>
        <w:spacing w:line="440" w:lineRule="exact"/>
        <w:ind w:firstLine="420"/>
        <w:jc w:val="left"/>
        <w:rPr>
          <w:rFonts w:hint="eastAsia" w:ascii="宋体" w:hAnsi="宋体" w:cs="宋体"/>
          <w:color w:val="000000"/>
          <w:kern w:val="0"/>
          <w:sz w:val="24"/>
          <w:szCs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1676400</wp:posOffset>
                </wp:positionH>
                <wp:positionV relativeFrom="paragraph">
                  <wp:posOffset>193040</wp:posOffset>
                </wp:positionV>
                <wp:extent cx="3384550" cy="730250"/>
                <wp:effectExtent l="4445" t="4445" r="20955" b="8255"/>
                <wp:wrapNone/>
                <wp:docPr id="28" name="圆角矩形 28"/>
                <wp:cNvGraphicFramePr/>
                <a:graphic xmlns:a="http://schemas.openxmlformats.org/drawingml/2006/main">
                  <a:graphicData uri="http://schemas.microsoft.com/office/word/2010/wordprocessingShape">
                    <wps:wsp>
                      <wps:cNvSpPr/>
                      <wps:spPr>
                        <a:xfrm>
                          <a:off x="2589530" y="3011805"/>
                          <a:ext cx="3384550" cy="730250"/>
                        </a:xfrm>
                        <a:prstGeom prst="roundRect">
                          <a:avLst/>
                        </a:prstGeom>
                        <a:ln w="6350" cap="flat" cmpd="sng" algn="ctr">
                          <a:solidFill>
                            <a:schemeClr val="accent6"/>
                          </a:solidFill>
                          <a:prstDash val="dash"/>
                          <a:miter lim="800000"/>
                        </a:ln>
                      </wps:spPr>
                      <wps:style>
                        <a:lnRef idx="0">
                          <a:schemeClr val="accent6"/>
                        </a:lnRef>
                        <a:fillRef idx="0">
                          <a:srgbClr val="FFFFFF"/>
                        </a:fillRef>
                        <a:effectRef idx="0">
                          <a:srgbClr val="FFFFFF"/>
                        </a:effectRef>
                        <a:fontRef idx="minor">
                          <a:schemeClr val="tx1"/>
                        </a:fontRef>
                      </wps:style>
                      <wps:txbx>
                        <w:txbxContent>
                          <w:p>
                            <w:pPr>
                              <w:jc w:val="center"/>
                              <w:rPr>
                                <w:rFonts w:hint="eastAsia" w:ascii="宋体" w:hAnsi="宋体" w:eastAsia="宋体" w:cs="宋体"/>
                                <w:color w:val="5B9BD5" w:themeColor="accen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ascii="宋体" w:hAnsi="宋体" w:eastAsia="宋体" w:cs="宋体"/>
                                <w:color w:val="5B9BD5" w:themeColor="accent1"/>
                                <w:sz w:val="21"/>
                                <w:szCs w:val="21"/>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物流信息管理</w:t>
                            </w:r>
                            <w:r>
                              <w:rPr>
                                <w:rFonts w:hint="eastAsia" w:ascii="宋体" w:hAnsi="宋体" w:eastAsia="宋体" w:cs="宋体"/>
                                <w:color w:val="5B9BD5" w:themeColor="accent1"/>
                                <w:sz w:val="21"/>
                                <w:szCs w:val="21"/>
                                <w:lang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w:t>
                            </w:r>
                            <w:r>
                              <w:rPr>
                                <w:rFonts w:hint="eastAsia" w:ascii="宋体" w:hAnsi="宋体" w:eastAsia="宋体" w:cs="宋体"/>
                                <w:color w:val="5B9BD5" w:themeColor="accent1"/>
                                <w:sz w:val="21"/>
                                <w:szCs w:val="21"/>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经济法概论</w:t>
                            </w:r>
                            <w:r>
                              <w:rPr>
                                <w:rFonts w:hint="eastAsia" w:ascii="宋体" w:hAnsi="宋体" w:eastAsia="宋体" w:cs="宋体"/>
                                <w:color w:val="5B9BD5" w:themeColor="accent1"/>
                                <w:sz w:val="21"/>
                                <w:szCs w:val="21"/>
                                <w:lang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w:t>
                            </w:r>
                            <w:r>
                              <w:rPr>
                                <w:rFonts w:hint="eastAsia" w:ascii="宋体" w:hAnsi="宋体" w:eastAsia="宋体" w:cs="宋体"/>
                                <w:color w:val="5B9BD5" w:themeColor="accent1"/>
                                <w:sz w:val="21"/>
                                <w:szCs w:val="21"/>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客户服务实务</w:t>
                            </w:r>
                            <w:r>
                              <w:rPr>
                                <w:rFonts w:hint="eastAsia" w:ascii="宋体" w:hAnsi="宋体" w:eastAsia="宋体" w:cs="宋体"/>
                                <w:color w:val="5B9BD5" w:themeColor="accent1"/>
                                <w:sz w:val="21"/>
                                <w:szCs w:val="21"/>
                                <w:lang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w:t>
                            </w:r>
                            <w:r>
                              <w:rPr>
                                <w:rFonts w:hint="eastAsia" w:ascii="宋体" w:hAnsi="宋体" w:eastAsia="宋体" w:cs="宋体"/>
                                <w:color w:val="5B9BD5" w:themeColor="accent1"/>
                                <w:sz w:val="21"/>
                                <w:szCs w:val="21"/>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电子商务概论</w:t>
                            </w:r>
                            <w:r>
                              <w:rPr>
                                <w:rFonts w:hint="eastAsia" w:ascii="宋体" w:hAnsi="宋体" w:eastAsia="宋体" w:cs="宋体"/>
                                <w:color w:val="5B9BD5" w:themeColor="accent1"/>
                                <w:sz w:val="21"/>
                                <w:szCs w:val="21"/>
                                <w:lang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w:t>
                            </w:r>
                            <w:r>
                              <w:rPr>
                                <w:rFonts w:ascii="宋体" w:hAnsi="宋体" w:eastAsia="宋体" w:cs="宋体"/>
                                <w:color w:val="5B9BD5" w:themeColor="accent1"/>
                                <w:sz w:val="21"/>
                                <w:szCs w:val="21"/>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公共关系基础、商务谈判、国际贸易实务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2pt;margin-top:15.2pt;height:57.5pt;width:266.5pt;z-index:251668480;v-text-anchor:middle;mso-width-relative:page;mso-height-relative:page;" filled="f" stroked="t" coordsize="21600,21600" arcsize="0.166666666666667" o:gfxdata="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KPddYzZAAAACgEAAA8AAAAAAAAAAQAgAAAAOAAAAGRycy9kb3ducmV2&#10;LnhtbFBLAQIUABQAAAAIAIdO4kABxC0DkAIAAO0EAAAOAAAAAAAAAAEAIAAAAD4BAABkcnMvZTJv&#10;RG9jLnhtbFBLBQYAAAAABgAGAFkBAABABgAAAAA=&#10;">
                <v:fill on="f" focussize="0,0"/>
                <v:stroke weight="0.5pt" color="#70AD47 [3209]" miterlimit="8" joinstyle="miter" dashstyle="dash"/>
                <v:imagedata o:title=""/>
                <o:lock v:ext="edit" aspectratio="f"/>
                <v:textbox>
                  <w:txbxContent>
                    <w:p>
                      <w:pPr>
                        <w:jc w:val="center"/>
                        <w:rPr>
                          <w:rFonts w:hint="eastAsia" w:ascii="宋体" w:hAnsi="宋体" w:eastAsia="宋体" w:cs="宋体"/>
                          <w:color w:val="5B9BD5" w:themeColor="accen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ascii="宋体" w:hAnsi="宋体" w:eastAsia="宋体" w:cs="宋体"/>
                          <w:color w:val="5B9BD5" w:themeColor="accent1"/>
                          <w:sz w:val="21"/>
                          <w:szCs w:val="21"/>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物流信息管理</w:t>
                      </w:r>
                      <w:r>
                        <w:rPr>
                          <w:rFonts w:hint="eastAsia" w:ascii="宋体" w:hAnsi="宋体" w:eastAsia="宋体" w:cs="宋体"/>
                          <w:color w:val="5B9BD5" w:themeColor="accent1"/>
                          <w:sz w:val="21"/>
                          <w:szCs w:val="21"/>
                          <w:lang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w:t>
                      </w:r>
                      <w:r>
                        <w:rPr>
                          <w:rFonts w:hint="eastAsia" w:ascii="宋体" w:hAnsi="宋体" w:eastAsia="宋体" w:cs="宋体"/>
                          <w:color w:val="5B9BD5" w:themeColor="accent1"/>
                          <w:sz w:val="21"/>
                          <w:szCs w:val="21"/>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经济法概论</w:t>
                      </w:r>
                      <w:r>
                        <w:rPr>
                          <w:rFonts w:hint="eastAsia" w:ascii="宋体" w:hAnsi="宋体" w:eastAsia="宋体" w:cs="宋体"/>
                          <w:color w:val="5B9BD5" w:themeColor="accent1"/>
                          <w:sz w:val="21"/>
                          <w:szCs w:val="21"/>
                          <w:lang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w:t>
                      </w:r>
                      <w:r>
                        <w:rPr>
                          <w:rFonts w:hint="eastAsia" w:ascii="宋体" w:hAnsi="宋体" w:eastAsia="宋体" w:cs="宋体"/>
                          <w:color w:val="5B9BD5" w:themeColor="accent1"/>
                          <w:sz w:val="21"/>
                          <w:szCs w:val="21"/>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客户服务实务</w:t>
                      </w:r>
                      <w:r>
                        <w:rPr>
                          <w:rFonts w:hint="eastAsia" w:ascii="宋体" w:hAnsi="宋体" w:eastAsia="宋体" w:cs="宋体"/>
                          <w:color w:val="5B9BD5" w:themeColor="accent1"/>
                          <w:sz w:val="21"/>
                          <w:szCs w:val="21"/>
                          <w:lang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w:t>
                      </w:r>
                      <w:r>
                        <w:rPr>
                          <w:rFonts w:hint="eastAsia" w:ascii="宋体" w:hAnsi="宋体" w:eastAsia="宋体" w:cs="宋体"/>
                          <w:color w:val="5B9BD5" w:themeColor="accent1"/>
                          <w:sz w:val="21"/>
                          <w:szCs w:val="21"/>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电子商务概论</w:t>
                      </w:r>
                      <w:r>
                        <w:rPr>
                          <w:rFonts w:hint="eastAsia" w:ascii="宋体" w:hAnsi="宋体" w:eastAsia="宋体" w:cs="宋体"/>
                          <w:color w:val="5B9BD5" w:themeColor="accent1"/>
                          <w:sz w:val="21"/>
                          <w:szCs w:val="21"/>
                          <w:lang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w:t>
                      </w:r>
                      <w:r>
                        <w:rPr>
                          <w:rFonts w:ascii="宋体" w:hAnsi="宋体" w:eastAsia="宋体" w:cs="宋体"/>
                          <w:color w:val="5B9BD5" w:themeColor="accent1"/>
                          <w:sz w:val="21"/>
                          <w:szCs w:val="21"/>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公共关系基础、商务谈判、国际贸易实务</w:t>
                      </w:r>
                    </w:p>
                  </w:txbxContent>
                </v:textbox>
              </v:roundrect>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5244465</wp:posOffset>
                </wp:positionH>
                <wp:positionV relativeFrom="paragraph">
                  <wp:posOffset>236220</wp:posOffset>
                </wp:positionV>
                <wp:extent cx="552450" cy="4449445"/>
                <wp:effectExtent l="15240" t="8890" r="22860" b="18415"/>
                <wp:wrapNone/>
                <wp:docPr id="8" name="上箭头 8"/>
                <wp:cNvGraphicFramePr/>
                <a:graphic xmlns:a="http://schemas.openxmlformats.org/drawingml/2006/main">
                  <a:graphicData uri="http://schemas.microsoft.com/office/word/2010/wordprocessingShape">
                    <wps:wsp>
                      <wps:cNvSpPr/>
                      <wps:spPr>
                        <a:xfrm>
                          <a:off x="1090295" y="2858135"/>
                          <a:ext cx="552450" cy="4449445"/>
                        </a:xfrm>
                        <a:prstGeom prst="upArrow">
                          <a:avLst/>
                        </a:prstGeom>
                        <a:solidFill>
                          <a:srgbClr val="5B9BD5"/>
                        </a:solidFill>
                        <a:ln w="12700" cap="flat" cmpd="sng" algn="ctr">
                          <a:solidFill>
                            <a:srgbClr val="5B9BD5">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能力递进</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8" type="#_x0000_t68" style="position:absolute;left:0pt;margin-left:412.95pt;margin-top:18.6pt;height:350.35pt;width:43.5pt;z-index:251662336;v-text-anchor:middle;mso-width-relative:page;mso-height-relative:page;" fillcolor="#5B9BD5" filled="t" stroked="t" coordsize="21600,21600" o:gfxdata="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FgAAAGRycy9QSwECFAAUAAAACACHTuJAstv5p9sAAAAKAQAADwAAAAAAAAAB&#10;ACAAAAA4AAAAZHJzL2Rvd25yZXYueG1sUEsBAhQAFAAAAAgAh07iQIh5h1WiAgAAQQUAAA4AAAAA&#10;AAAAAQAgAAAAQAEAAGRycy9lMm9Eb2MueG1sUEsFBgAAAAAGAAYAWQEAAFQGAAAAAA==&#10;" adj="1340,5400">
                <v:fill on="t" focussize="0,0"/>
                <v:stroke weight="1pt" color="#2E75B6 [2404]" miterlimit="8" joinstyle="miter"/>
                <v:imagedata o:title=""/>
                <o:lock v:ext="edit" aspectratio="f"/>
                <v:textbox>
                  <w:txbxContent>
                    <w:p>
                      <w:pPr>
                        <w:jc w:val="center"/>
                        <w:rPr>
                          <w:rFonts w:hint="eastAsia"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能力递进</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189865</wp:posOffset>
                </wp:positionH>
                <wp:positionV relativeFrom="paragraph">
                  <wp:posOffset>223520</wp:posOffset>
                </wp:positionV>
                <wp:extent cx="552450" cy="4436110"/>
                <wp:effectExtent l="15240" t="8890" r="22860" b="12700"/>
                <wp:wrapNone/>
                <wp:docPr id="7" name="上箭头 7"/>
                <wp:cNvGraphicFramePr/>
                <a:graphic xmlns:a="http://schemas.openxmlformats.org/drawingml/2006/main">
                  <a:graphicData uri="http://schemas.microsoft.com/office/word/2010/wordprocessingShape">
                    <wps:wsp>
                      <wps:cNvSpPr/>
                      <wps:spPr>
                        <a:xfrm>
                          <a:off x="1262380" y="2712085"/>
                          <a:ext cx="552450" cy="4436110"/>
                        </a:xfrm>
                        <a:prstGeom prst="upArrow">
                          <a:avLst/>
                        </a:prstGeom>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产教融合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8" type="#_x0000_t68" style="position:absolute;left:0pt;margin-left:14.95pt;margin-top:17.6pt;height:349.3pt;width:43.5pt;z-index:251661312;v-text-anchor:middle;mso-width-relative:page;mso-height-relative:page;" fillcolor="#5B9BD5 [3204]" filled="t" stroked="t" coordsize="21600,21600" o:gfxdata="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WAAAAZHJzL1BLAQIUABQAAAAIAIdO4kBSrfNH2QAAAAkBAAAPAAAAAAAAAAEA&#10;IAAAADgAAABkcnMvZG93bnJldi54bWxQSwECFAAUAAAACACHTuJAhXZ68aMCAAAzBQAADgAAAAAA&#10;AAABACAAAAA+AQAAZHJzL2Uyb0RvYy54bWxQSwUGAAAAAAYABgBZAQAAUwYAAAAA&#10;" adj="1344,5400">
                <v:fill on="t" focussize="0,0"/>
                <v:stroke weight="1pt" color="#2E75B6 [2404]" miterlimit="8" joinstyle="miter"/>
                <v:imagedata o:title=""/>
                <o:lock v:ext="edit" aspectratio="f"/>
                <v:textbox>
                  <w:txbxContent>
                    <w:p>
                      <w:pPr>
                        <w:jc w:val="center"/>
                        <w:rPr>
                          <w:rFonts w:hint="eastAsia"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产教融合</w:t>
                      </w:r>
                    </w:p>
                  </w:txbxContent>
                </v:textbox>
              </v:shape>
            </w:pict>
          </mc:Fallback>
        </mc:AlternateContent>
      </w:r>
    </w:p>
    <w:p>
      <w:pPr>
        <w:widowControl/>
        <w:spacing w:line="440" w:lineRule="exact"/>
        <w:ind w:firstLine="420"/>
        <w:jc w:val="left"/>
        <w:rPr>
          <w:rFonts w:hint="eastAsia" w:ascii="宋体" w:hAnsi="宋体" w:cs="宋体"/>
          <w:color w:val="000000"/>
          <w:kern w:val="0"/>
          <w:sz w:val="24"/>
          <w:szCs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812800</wp:posOffset>
                </wp:positionH>
                <wp:positionV relativeFrom="paragraph">
                  <wp:posOffset>75565</wp:posOffset>
                </wp:positionV>
                <wp:extent cx="698500" cy="527685"/>
                <wp:effectExtent l="0" t="0" r="6350" b="5715"/>
                <wp:wrapNone/>
                <wp:docPr id="9" name="圆角矩形 9"/>
                <wp:cNvGraphicFramePr/>
                <a:graphic xmlns:a="http://schemas.openxmlformats.org/drawingml/2006/main">
                  <a:graphicData uri="http://schemas.microsoft.com/office/word/2010/wordprocessingShape">
                    <wps:wsp>
                      <wps:cNvSpPr/>
                      <wps:spPr>
                        <a:xfrm>
                          <a:off x="1706880" y="2989580"/>
                          <a:ext cx="698500" cy="527685"/>
                        </a:xfrm>
                        <a:prstGeom prst="roundRect">
                          <a:avLst/>
                        </a:prstGeom>
                      </wps:spPr>
                      <wps:style>
                        <a:lnRef idx="0">
                          <a:srgbClr val="FFFFFF"/>
                        </a:lnRef>
                        <a:fillRef idx="2">
                          <a:schemeClr val="accent6"/>
                        </a:fillRef>
                        <a:effectRef idx="0">
                          <a:srgbClr val="FFFFFF"/>
                        </a:effectRef>
                        <a:fontRef idx="minor">
                          <a:schemeClr val="lt1"/>
                        </a:fontRef>
                      </wps:style>
                      <wps:txbx>
                        <w:txbxContent>
                          <w:p>
                            <w:pPr>
                              <w:jc w:val="center"/>
                              <w:rPr>
                                <w:rFonts w:hint="eastAsia"/>
                                <w:lang w:val="en-US" w:eastAsia="zh-CN"/>
                              </w:rPr>
                            </w:pPr>
                            <w:r>
                              <w:rPr>
                                <w:rFonts w:hint="eastAsia"/>
                                <w:lang w:val="en-US" w:eastAsia="zh-CN"/>
                              </w:rPr>
                              <w:t>专业</w:t>
                            </w:r>
                          </w:p>
                          <w:p>
                            <w:pPr>
                              <w:jc w:val="center"/>
                              <w:rPr>
                                <w:rFonts w:hint="eastAsia" w:eastAsia="宋体"/>
                                <w:lang w:val="en-US" w:eastAsia="zh-CN"/>
                              </w:rPr>
                            </w:pPr>
                            <w:r>
                              <w:rPr>
                                <w:rFonts w:hint="eastAsia"/>
                                <w:lang w:val="en-US" w:eastAsia="zh-CN"/>
                              </w:rPr>
                              <w:t>拓展课课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4pt;margin-top:5.95pt;height:41.55pt;width:55pt;z-index:251663360;v-text-anchor:middle;mso-width-relative:page;mso-height-relative:page;" fillcolor="#B5D5A7 [3536]" filled="t" stroked="f" coordsize="21600,21600" arcsize="0.166666666666667" o:gfxdata="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FgAAAGRycy9QSwECFAAUAAAACACHTuJANrliTNYAAAAJAQAADwAAAAAAAAABACAA&#10;AAA4AAAAZHJzL2Rvd25yZXYueG1sUEsBAhQAFAAAAAgAh07iQMwg2CPdAgAALQYAAA4AAAAAAAAA&#10;AQAgAAAAOwEAAGRycy9lMm9Eb2MueG1sUEsFBgAAAAAGAAYAWQEAAIoGAAAAAA==&#10;">
                <v:fill type="gradient" on="t" color2="#9CCA86 [3376]" colors="0f #B5D5A7;32768f #AACE99;65536f #9CCA86" focus="100%" focussize="0,0" rotate="t">
                  <o:fill type="gradientUnscaled" v:ext="backwardCompatible"/>
                </v:fill>
                <v:stroke on="f"/>
                <v:imagedata o:title=""/>
                <o:lock v:ext="edit" aspectratio="f"/>
                <v:textbox>
                  <w:txbxContent>
                    <w:p>
                      <w:pPr>
                        <w:jc w:val="center"/>
                        <w:rPr>
                          <w:rFonts w:hint="eastAsia"/>
                          <w:lang w:val="en-US" w:eastAsia="zh-CN"/>
                        </w:rPr>
                      </w:pPr>
                      <w:r>
                        <w:rPr>
                          <w:rFonts w:hint="eastAsia"/>
                          <w:lang w:val="en-US" w:eastAsia="zh-CN"/>
                        </w:rPr>
                        <w:t>专业</w:t>
                      </w:r>
                    </w:p>
                    <w:p>
                      <w:pPr>
                        <w:jc w:val="center"/>
                        <w:rPr>
                          <w:rFonts w:hint="eastAsia" w:eastAsia="宋体"/>
                          <w:lang w:val="en-US" w:eastAsia="zh-CN"/>
                        </w:rPr>
                      </w:pPr>
                      <w:r>
                        <w:rPr>
                          <w:rFonts w:hint="eastAsia"/>
                          <w:lang w:val="en-US" w:eastAsia="zh-CN"/>
                        </w:rPr>
                        <w:t>拓展课课</w:t>
                      </w:r>
                    </w:p>
                  </w:txbxContent>
                </v:textbox>
              </v:roundrect>
            </w:pict>
          </mc:Fallback>
        </mc:AlternateContent>
      </w:r>
    </w:p>
    <w:p>
      <w:pPr>
        <w:widowControl/>
        <w:spacing w:line="440" w:lineRule="exact"/>
        <w:ind w:firstLine="420"/>
        <w:jc w:val="left"/>
        <w:rPr>
          <w:rFonts w:hint="eastAsia" w:ascii="宋体" w:hAnsi="宋体" w:cs="宋体"/>
          <w:color w:val="000000"/>
          <w:kern w:val="0"/>
          <w:sz w:val="24"/>
          <w:szCs w:val="24"/>
        </w:rPr>
      </w:pPr>
    </w:p>
    <w:p>
      <w:pPr>
        <w:widowControl/>
        <w:spacing w:line="440" w:lineRule="exact"/>
        <w:ind w:firstLine="420"/>
        <w:jc w:val="left"/>
        <w:rPr>
          <w:rFonts w:hint="eastAsia" w:ascii="宋体" w:hAnsi="宋体" w:cs="宋体"/>
          <w:color w:val="000000"/>
          <w:kern w:val="0"/>
          <w:sz w:val="24"/>
          <w:szCs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1701800</wp:posOffset>
                </wp:positionH>
                <wp:positionV relativeFrom="paragraph">
                  <wp:posOffset>174625</wp:posOffset>
                </wp:positionV>
                <wp:extent cx="3314700" cy="584200"/>
                <wp:effectExtent l="4445" t="4445" r="14605" b="20955"/>
                <wp:wrapNone/>
                <wp:docPr id="30" name="圆角矩形 30"/>
                <wp:cNvGraphicFramePr/>
                <a:graphic xmlns:a="http://schemas.openxmlformats.org/drawingml/2006/main">
                  <a:graphicData uri="http://schemas.microsoft.com/office/word/2010/wordprocessingShape">
                    <wps:wsp>
                      <wps:cNvSpPr/>
                      <wps:spPr>
                        <a:xfrm>
                          <a:off x="2729230" y="3843655"/>
                          <a:ext cx="3314700" cy="584200"/>
                        </a:xfrm>
                        <a:prstGeom prst="roundRect">
                          <a:avLst/>
                        </a:prstGeom>
                        <a:ln w="6350" cap="flat" cmpd="sng" algn="ctr">
                          <a:solidFill>
                            <a:schemeClr val="accent1"/>
                          </a:solidFill>
                          <a:prstDash val="dash"/>
                          <a:miter lim="800000"/>
                        </a:ln>
                      </wps:spPr>
                      <wps:style>
                        <a:lnRef idx="0">
                          <a:schemeClr val="accent6"/>
                        </a:lnRef>
                        <a:fillRef idx="0">
                          <a:srgbClr val="FFFFFF"/>
                        </a:fillRef>
                        <a:effectRef idx="0">
                          <a:srgbClr val="FFFFFF"/>
                        </a:effectRef>
                        <a:fontRef idx="minor">
                          <a:schemeClr val="tx1"/>
                        </a:fontRef>
                      </wps:style>
                      <wps:txbx>
                        <w:txbxContent>
                          <w:p>
                            <w:pPr>
                              <w:jc w:val="center"/>
                              <w:rPr>
                                <w:rFonts w:hint="eastAsia"/>
                                <w:color w:val="FFFFFF"/>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r>
                              <w:rPr>
                                <w:rFonts w:hint="eastAsia"/>
                                <w:color w:val="FFFFFF"/>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t>物流岗位专业综合实训</w:t>
                            </w:r>
                          </w:p>
                          <w:p>
                            <w:pPr>
                              <w:jc w:val="center"/>
                              <w:rPr>
                                <w:rFonts w:hint="default"/>
                                <w:color w:val="FFFFFF"/>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r>
                              <w:rPr>
                                <w:rFonts w:hint="eastAsia"/>
                                <w:color w:val="FFFFFF"/>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t>物流管理岗位实习Ⅰ</w:t>
                            </w:r>
                            <w:r>
                              <w:rPr>
                                <w:rFonts w:hint="eastAsia"/>
                                <w:color w:val="FFFFFF"/>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t>、</w:t>
                            </w:r>
                            <w:r>
                              <w:rPr>
                                <w:rFonts w:hint="eastAsia"/>
                                <w:color w:val="FFFFFF"/>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t>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4pt;margin-top:13.75pt;height:46pt;width:261pt;z-index:251669504;v-text-anchor:middle;mso-width-relative:page;mso-height-relative:page;" filled="f" stroked="t" coordsize="21600,21600" arcsize="0.166666666666667" o:gfxdata="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FIJLwdgAAAAKAQAADwAAAAAAAAABACAAAAA4AAAAZHJzL2Rvd25yZXYu&#10;eG1sUEsBAhQAFAAAAAgAh07iQGbJTg+QAgAA7QQAAA4AAAAAAAAAAQAgAAAAPQEAAGRycy9lMm9E&#10;b2MueG1sUEsFBgAAAAAGAAYAWQEAAD8GAAAAAA==&#10;">
                <v:fill on="f" focussize="0,0"/>
                <v:stroke weight="0.5pt" color="#5B9BD5 [3204]" miterlimit="8" joinstyle="miter" dashstyle="dash"/>
                <v:imagedata o:title=""/>
                <o:lock v:ext="edit" aspectratio="f"/>
                <v:textbox>
                  <w:txbxContent>
                    <w:p>
                      <w:pPr>
                        <w:jc w:val="center"/>
                        <w:rPr>
                          <w:rFonts w:hint="eastAsia"/>
                          <w:color w:val="FFFFFF"/>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r>
                        <w:rPr>
                          <w:rFonts w:hint="eastAsia"/>
                          <w:color w:val="FFFFFF"/>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t>物流岗位专业综合实训</w:t>
                      </w:r>
                    </w:p>
                    <w:p>
                      <w:pPr>
                        <w:jc w:val="center"/>
                        <w:rPr>
                          <w:rFonts w:hint="default"/>
                          <w:color w:val="FFFFFF"/>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r>
                        <w:rPr>
                          <w:rFonts w:hint="eastAsia"/>
                          <w:color w:val="FFFFFF"/>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t>物流管理岗位实习Ⅰ</w:t>
                      </w:r>
                      <w:r>
                        <w:rPr>
                          <w:rFonts w:hint="eastAsia"/>
                          <w:color w:val="FFFFFF"/>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t>、</w:t>
                      </w:r>
                      <w:r>
                        <w:rPr>
                          <w:rFonts w:hint="eastAsia"/>
                          <w:color w:val="FFFFFF"/>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t>Ⅱ</w:t>
                      </w:r>
                    </w:p>
                  </w:txbxContent>
                </v:textbox>
              </v:roundrect>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812800</wp:posOffset>
                </wp:positionH>
                <wp:positionV relativeFrom="paragraph">
                  <wp:posOffset>208915</wp:posOffset>
                </wp:positionV>
                <wp:extent cx="704215" cy="546735"/>
                <wp:effectExtent l="0" t="0" r="635" b="5715"/>
                <wp:wrapNone/>
                <wp:docPr id="10" name="圆角矩形 10"/>
                <wp:cNvGraphicFramePr/>
                <a:graphic xmlns:a="http://schemas.openxmlformats.org/drawingml/2006/main">
                  <a:graphicData uri="http://schemas.microsoft.com/office/word/2010/wordprocessingShape">
                    <wps:wsp>
                      <wps:cNvSpPr/>
                      <wps:spPr>
                        <a:xfrm>
                          <a:off x="0" y="0"/>
                          <a:ext cx="704215" cy="546735"/>
                        </a:xfrm>
                        <a:prstGeom prst="roundRect">
                          <a:avLst/>
                        </a:prstGeom>
                      </wps:spPr>
                      <wps:style>
                        <a:lnRef idx="0">
                          <a:srgbClr val="FFFFFF"/>
                        </a:lnRef>
                        <a:fillRef idx="1">
                          <a:schemeClr val="accent5"/>
                        </a:fillRef>
                        <a:effectRef idx="1">
                          <a:schemeClr val="accent5"/>
                        </a:effectRef>
                        <a:fontRef idx="minor">
                          <a:schemeClr val="lt1"/>
                        </a:fontRef>
                      </wps:style>
                      <wps:txbx>
                        <w:txbxContent>
                          <w:p>
                            <w:pPr>
                              <w:jc w:val="center"/>
                              <w:rPr>
                                <w:rFonts w:hint="eastAsia"/>
                                <w:lang w:val="en-US" w:eastAsia="zh-CN"/>
                              </w:rPr>
                            </w:pPr>
                            <w:r>
                              <w:rPr>
                                <w:rFonts w:hint="eastAsia"/>
                                <w:lang w:val="en-US" w:eastAsia="zh-CN"/>
                              </w:rPr>
                              <w:t>实训</w:t>
                            </w:r>
                          </w:p>
                          <w:p>
                            <w:pPr>
                              <w:jc w:val="center"/>
                              <w:rPr>
                                <w:rFonts w:hint="default" w:eastAsia="宋体"/>
                                <w:lang w:val="en-US" w:eastAsia="zh-CN"/>
                              </w:rPr>
                            </w:pPr>
                            <w:r>
                              <w:rPr>
                                <w:rFonts w:hint="eastAsia"/>
                                <w:lang w:val="en-US" w:eastAsia="zh-CN"/>
                              </w:rPr>
                              <w:t>实习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4pt;margin-top:16.45pt;height:43.05pt;width:55.45pt;z-index:251664384;v-text-anchor:middle;mso-width-relative:page;mso-height-relative:page;" fillcolor="#4472C4 [3208]" filled="t" stroked="f" coordsize="21600,21600" arcsize="0.166666666666667" o:gfxdata="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NKm&#10;i/vTAAAACgEAAA8AAAAAAAAAAQAgAAAAOAAAAGRycy9kb3ducmV2LnhtbFBLAQIUABQAAAAIAIdO&#10;4kB4Q9LpSwIAAHYEAAAOAAAAAAAAAAEAIAAAADgBAABkcnMvZTJvRG9jLnhtbFBLBQYAAAAABgAG&#10;AFkBAAD1BQAAAAA=&#10;">
                <v:fill on="t" focussize="0,0"/>
                <v:stroke on="f"/>
                <v:imagedata o:title=""/>
                <o:lock v:ext="edit" aspectratio="f"/>
                <v:textbox>
                  <w:txbxContent>
                    <w:p>
                      <w:pPr>
                        <w:jc w:val="center"/>
                        <w:rPr>
                          <w:rFonts w:hint="eastAsia"/>
                          <w:lang w:val="en-US" w:eastAsia="zh-CN"/>
                        </w:rPr>
                      </w:pPr>
                      <w:r>
                        <w:rPr>
                          <w:rFonts w:hint="eastAsia"/>
                          <w:lang w:val="en-US" w:eastAsia="zh-CN"/>
                        </w:rPr>
                        <w:t>实训</w:t>
                      </w:r>
                    </w:p>
                    <w:p>
                      <w:pPr>
                        <w:jc w:val="center"/>
                        <w:rPr>
                          <w:rFonts w:hint="default" w:eastAsia="宋体"/>
                          <w:lang w:val="en-US" w:eastAsia="zh-CN"/>
                        </w:rPr>
                      </w:pPr>
                      <w:r>
                        <w:rPr>
                          <w:rFonts w:hint="eastAsia"/>
                          <w:lang w:val="en-US" w:eastAsia="zh-CN"/>
                        </w:rPr>
                        <w:t>实习</w:t>
                      </w:r>
                    </w:p>
                  </w:txbxContent>
                </v:textbox>
              </v:roundrect>
            </w:pict>
          </mc:Fallback>
        </mc:AlternateContent>
      </w:r>
    </w:p>
    <w:p>
      <w:pPr>
        <w:widowControl/>
        <w:spacing w:line="440" w:lineRule="exact"/>
        <w:ind w:firstLine="420"/>
        <w:jc w:val="left"/>
        <w:rPr>
          <w:rFonts w:hint="eastAsia" w:ascii="宋体" w:hAnsi="宋体" w:cs="宋体"/>
          <w:color w:val="000000"/>
          <w:kern w:val="0"/>
          <w:sz w:val="24"/>
          <w:szCs w:val="24"/>
        </w:rPr>
      </w:pPr>
    </w:p>
    <w:p>
      <w:pPr>
        <w:widowControl/>
        <w:spacing w:line="440" w:lineRule="exact"/>
        <w:ind w:firstLine="420"/>
        <w:jc w:val="left"/>
        <w:rPr>
          <w:rFonts w:hint="eastAsia" w:ascii="宋体" w:hAnsi="宋体" w:cs="宋体"/>
          <w:color w:val="000000"/>
          <w:kern w:val="0"/>
          <w:sz w:val="24"/>
          <w:szCs w:val="24"/>
        </w:rPr>
      </w:pPr>
    </w:p>
    <w:p>
      <w:pPr>
        <w:widowControl/>
        <w:spacing w:line="440" w:lineRule="exact"/>
        <w:ind w:firstLine="420"/>
        <w:jc w:val="left"/>
        <w:rPr>
          <w:rFonts w:hint="eastAsia" w:ascii="宋体" w:hAnsi="宋体" w:cs="宋体"/>
          <w:color w:val="000000"/>
          <w:kern w:val="0"/>
          <w:sz w:val="24"/>
          <w:szCs w:val="24"/>
        </w:rPr>
      </w:pPr>
      <w:r>
        <w:rPr>
          <w:sz w:val="24"/>
        </w:rPr>
        <mc:AlternateContent>
          <mc:Choice Requires="wps">
            <w:drawing>
              <wp:anchor distT="0" distB="0" distL="114300" distR="114300" simplePos="0" relativeHeight="251672576" behindDoc="0" locked="0" layoutInCell="1" allowOverlap="1">
                <wp:simplePos x="0" y="0"/>
                <wp:positionH relativeFrom="column">
                  <wp:posOffset>1676400</wp:posOffset>
                </wp:positionH>
                <wp:positionV relativeFrom="paragraph">
                  <wp:posOffset>3810</wp:posOffset>
                </wp:positionV>
                <wp:extent cx="1840865" cy="1623060"/>
                <wp:effectExtent l="4445" t="4445" r="21590" b="10795"/>
                <wp:wrapNone/>
                <wp:docPr id="33" name="圆角矩形 33"/>
                <wp:cNvGraphicFramePr/>
                <a:graphic xmlns:a="http://schemas.openxmlformats.org/drawingml/2006/main">
                  <a:graphicData uri="http://schemas.microsoft.com/office/word/2010/wordprocessingShape">
                    <wps:wsp>
                      <wps:cNvSpPr/>
                      <wps:spPr>
                        <a:xfrm>
                          <a:off x="2602230" y="4504055"/>
                          <a:ext cx="1840865" cy="1623060"/>
                        </a:xfrm>
                        <a:prstGeom prst="roundRect">
                          <a:avLst/>
                        </a:prstGeom>
                        <a:ln w="6350" cap="flat" cmpd="sng" algn="ctr">
                          <a:solidFill>
                            <a:schemeClr val="accent4"/>
                          </a:solidFill>
                          <a:prstDash val="dash"/>
                          <a:miter lim="800000"/>
                        </a:ln>
                      </wps:spPr>
                      <wps:style>
                        <a:lnRef idx="0">
                          <a:schemeClr val="accent6"/>
                        </a:lnRef>
                        <a:fillRef idx="0">
                          <a:srgbClr val="FFFFFF"/>
                        </a:fillRef>
                        <a:effectRef idx="0">
                          <a:srgbClr val="FFFFFF"/>
                        </a:effectRef>
                        <a:fontRef idx="minor">
                          <a:schemeClr val="tx1"/>
                        </a:fontRef>
                      </wps:style>
                      <wps:txbx>
                        <w:txbxContent>
                          <w:p>
                            <w:pPr>
                              <w:jc w:val="center"/>
                              <w:rPr>
                                <w:rFonts w:hint="eastAsia"/>
                                <w:b/>
                                <w:bCs/>
                                <w:color w:val="5B9BD5" w:themeColor="accent1"/>
                                <w:sz w:val="21"/>
                                <w:szCs w:val="21"/>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pPr>
                            <w:r>
                              <w:rPr>
                                <w:rFonts w:hint="eastAsia"/>
                                <w:b/>
                                <w:bCs/>
                                <w:color w:val="5B9BD5" w:themeColor="accent1"/>
                                <w:sz w:val="21"/>
                                <w:szCs w:val="21"/>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t>仓储与配送管理</w:t>
                            </w:r>
                          </w:p>
                          <w:p>
                            <w:pPr>
                              <w:jc w:val="center"/>
                              <w:rPr>
                                <w:rFonts w:hint="eastAsia"/>
                                <w:b/>
                                <w:bCs/>
                                <w:color w:val="5B9BD5" w:themeColor="accent1"/>
                                <w:sz w:val="21"/>
                                <w:szCs w:val="21"/>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pPr>
                            <w:r>
                              <w:rPr>
                                <w:rFonts w:hint="eastAsia"/>
                                <w:b/>
                                <w:bCs/>
                                <w:color w:val="5B9BD5" w:themeColor="accent1"/>
                                <w:sz w:val="21"/>
                                <w:szCs w:val="21"/>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t>运输管理</w:t>
                            </w:r>
                          </w:p>
                          <w:p>
                            <w:pPr>
                              <w:jc w:val="center"/>
                              <w:rPr>
                                <w:rFonts w:hint="eastAsia"/>
                                <w:b/>
                                <w:bCs/>
                                <w:color w:val="5B9BD5" w:themeColor="accent1"/>
                                <w:sz w:val="21"/>
                                <w:szCs w:val="21"/>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pPr>
                            <w:r>
                              <w:rPr>
                                <w:rFonts w:hint="eastAsia" w:ascii="宋体" w:hAnsi="宋体" w:cs="宋体"/>
                                <w:b/>
                                <w:bCs/>
                                <w:color w:val="5B9BD5" w:themeColor="accent1"/>
                                <w:kern w:val="0"/>
                                <w:sz w:val="21"/>
                                <w:szCs w:val="21"/>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t>物流成本管理</w:t>
                            </w:r>
                          </w:p>
                          <w:p>
                            <w:pPr>
                              <w:jc w:val="center"/>
                              <w:rPr>
                                <w:rFonts w:hint="eastAsia"/>
                                <w:b/>
                                <w:bCs/>
                                <w:color w:val="5B9BD5" w:themeColor="accent1"/>
                                <w:sz w:val="21"/>
                                <w:szCs w:val="21"/>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pPr>
                            <w:r>
                              <w:rPr>
                                <w:rFonts w:hint="eastAsia" w:ascii="宋体" w:hAnsi="宋体" w:cs="宋体"/>
                                <w:b/>
                                <w:bCs/>
                                <w:color w:val="5B9BD5" w:themeColor="accent1"/>
                                <w:kern w:val="0"/>
                                <w:sz w:val="21"/>
                                <w:szCs w:val="21"/>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t>采购与供应链管理</w:t>
                            </w:r>
                          </w:p>
                          <w:p>
                            <w:pPr>
                              <w:jc w:val="center"/>
                              <w:rPr>
                                <w:rFonts w:hint="eastAsia"/>
                                <w:b/>
                                <w:bCs/>
                                <w:color w:val="5B9BD5" w:themeColor="accent1"/>
                                <w:sz w:val="21"/>
                                <w:szCs w:val="21"/>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pPr>
                            <w:r>
                              <w:rPr>
                                <w:rFonts w:hint="eastAsia" w:ascii="宋体" w:hAnsi="宋体" w:cs="宋体"/>
                                <w:b/>
                                <w:bCs/>
                                <w:color w:val="5B9BD5" w:themeColor="accent1"/>
                                <w:kern w:val="0"/>
                                <w:sz w:val="21"/>
                                <w:szCs w:val="21"/>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t>生产与运作管理实务</w:t>
                            </w:r>
                          </w:p>
                          <w:p>
                            <w:pPr>
                              <w:jc w:val="center"/>
                              <w:rPr>
                                <w:rFonts w:hint="eastAsia" w:ascii="宋体" w:hAnsi="宋体" w:cs="宋体"/>
                                <w:b/>
                                <w:bCs/>
                                <w:color w:val="5B9BD5" w:themeColor="accent1"/>
                                <w:kern w:val="0"/>
                                <w:sz w:val="21"/>
                                <w:szCs w:val="21"/>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pPr>
                            <w:r>
                              <w:rPr>
                                <w:rFonts w:hint="eastAsia" w:ascii="宋体" w:hAnsi="宋体" w:cs="宋体"/>
                                <w:b/>
                                <w:bCs/>
                                <w:color w:val="5B9BD5" w:themeColor="accent1"/>
                                <w:kern w:val="0"/>
                                <w:sz w:val="21"/>
                                <w:szCs w:val="21"/>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t>国际物流与货运代理</w:t>
                            </w:r>
                          </w:p>
                          <w:p>
                            <w:pPr>
                              <w:jc w:val="center"/>
                              <w:rPr>
                                <w:rFonts w:hint="eastAsia" w:ascii="宋体" w:hAnsi="宋体" w:cs="宋体"/>
                                <w:b/>
                                <w:bCs/>
                                <w:color w:val="5B9BD5" w:themeColor="accent1"/>
                                <w:kern w:val="0"/>
                                <w:sz w:val="21"/>
                                <w:szCs w:val="21"/>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pPr>
                            <w:r>
                              <w:rPr>
                                <w:rFonts w:hint="eastAsia" w:ascii="宋体" w:hAnsi="宋体" w:cs="宋体"/>
                                <w:b/>
                                <w:bCs/>
                                <w:color w:val="5B9BD5" w:themeColor="accent1"/>
                                <w:kern w:val="0"/>
                                <w:sz w:val="21"/>
                                <w:szCs w:val="21"/>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t>物流营销</w:t>
                            </w:r>
                          </w:p>
                          <w:p>
                            <w:pPr>
                              <w:jc w:val="center"/>
                              <w:rPr>
                                <w:rFonts w:hint="eastAsia" w:ascii="宋体" w:hAnsi="宋体" w:cs="宋体"/>
                                <w:color w:val="000000"/>
                                <w:kern w:val="0"/>
                                <w:sz w:val="18"/>
                                <w:szCs w:val="18"/>
                                <w:lang w:eastAsia="zh-CN"/>
                              </w:rPr>
                            </w:pPr>
                          </w:p>
                          <w:p>
                            <w:pPr>
                              <w:jc w:val="center"/>
                              <w:rPr>
                                <w:rFonts w:hint="eastAsia" w:ascii="宋体" w:hAnsi="宋体" w:cs="宋体"/>
                                <w:color w:val="000000"/>
                                <w:kern w:val="0"/>
                                <w:sz w:val="18"/>
                                <w:szCs w:val="18"/>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2pt;margin-top:0.3pt;height:127.8pt;width:144.95pt;z-index:251672576;v-text-anchor:middle;mso-width-relative:page;mso-height-relative:page;" filled="f" stroked="t" coordsize="21600,21600" arcsize="0.166666666666667" o:gfxdata="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CMCJEO1wAAAAgBAAAPAAAAAAAAAAEAIAAAADgAAABkcnMvZG93bnJldi54&#10;bWxQSwECFAAUAAAACACHTuJAIEzOoZACAADuBAAADgAAAAAAAAABACAAAAA8AQAAZHJzL2Uyb0Rv&#10;Yy54bWxQSwUGAAAAAAYABgBZAQAAPgYAAAAA&#10;">
                <v:fill on="f" focussize="0,0"/>
                <v:stroke weight="0.5pt" color="#FFC000 [3207]" miterlimit="8" joinstyle="miter" dashstyle="dash"/>
                <v:imagedata o:title=""/>
                <o:lock v:ext="edit" aspectratio="f"/>
                <v:textbox>
                  <w:txbxContent>
                    <w:p>
                      <w:pPr>
                        <w:jc w:val="center"/>
                        <w:rPr>
                          <w:rFonts w:hint="eastAsia"/>
                          <w:b/>
                          <w:bCs/>
                          <w:color w:val="5B9BD5" w:themeColor="accent1"/>
                          <w:sz w:val="21"/>
                          <w:szCs w:val="21"/>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pPr>
                      <w:r>
                        <w:rPr>
                          <w:rFonts w:hint="eastAsia"/>
                          <w:b/>
                          <w:bCs/>
                          <w:color w:val="5B9BD5" w:themeColor="accent1"/>
                          <w:sz w:val="21"/>
                          <w:szCs w:val="21"/>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t>仓储与配送管理</w:t>
                      </w:r>
                    </w:p>
                    <w:p>
                      <w:pPr>
                        <w:jc w:val="center"/>
                        <w:rPr>
                          <w:rFonts w:hint="eastAsia"/>
                          <w:b/>
                          <w:bCs/>
                          <w:color w:val="5B9BD5" w:themeColor="accent1"/>
                          <w:sz w:val="21"/>
                          <w:szCs w:val="21"/>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pPr>
                      <w:r>
                        <w:rPr>
                          <w:rFonts w:hint="eastAsia"/>
                          <w:b/>
                          <w:bCs/>
                          <w:color w:val="5B9BD5" w:themeColor="accent1"/>
                          <w:sz w:val="21"/>
                          <w:szCs w:val="21"/>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t>运输管理</w:t>
                      </w:r>
                    </w:p>
                    <w:p>
                      <w:pPr>
                        <w:jc w:val="center"/>
                        <w:rPr>
                          <w:rFonts w:hint="eastAsia"/>
                          <w:b/>
                          <w:bCs/>
                          <w:color w:val="5B9BD5" w:themeColor="accent1"/>
                          <w:sz w:val="21"/>
                          <w:szCs w:val="21"/>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pPr>
                      <w:r>
                        <w:rPr>
                          <w:rFonts w:hint="eastAsia" w:ascii="宋体" w:hAnsi="宋体" w:cs="宋体"/>
                          <w:b/>
                          <w:bCs/>
                          <w:color w:val="5B9BD5" w:themeColor="accent1"/>
                          <w:kern w:val="0"/>
                          <w:sz w:val="21"/>
                          <w:szCs w:val="21"/>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t>物流成本管理</w:t>
                      </w:r>
                    </w:p>
                    <w:p>
                      <w:pPr>
                        <w:jc w:val="center"/>
                        <w:rPr>
                          <w:rFonts w:hint="eastAsia"/>
                          <w:b/>
                          <w:bCs/>
                          <w:color w:val="5B9BD5" w:themeColor="accent1"/>
                          <w:sz w:val="21"/>
                          <w:szCs w:val="21"/>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pPr>
                      <w:r>
                        <w:rPr>
                          <w:rFonts w:hint="eastAsia" w:ascii="宋体" w:hAnsi="宋体" w:cs="宋体"/>
                          <w:b/>
                          <w:bCs/>
                          <w:color w:val="5B9BD5" w:themeColor="accent1"/>
                          <w:kern w:val="0"/>
                          <w:sz w:val="21"/>
                          <w:szCs w:val="21"/>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t>采购与供应链管理</w:t>
                      </w:r>
                    </w:p>
                    <w:p>
                      <w:pPr>
                        <w:jc w:val="center"/>
                        <w:rPr>
                          <w:rFonts w:hint="eastAsia"/>
                          <w:b/>
                          <w:bCs/>
                          <w:color w:val="5B9BD5" w:themeColor="accent1"/>
                          <w:sz w:val="21"/>
                          <w:szCs w:val="21"/>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pPr>
                      <w:r>
                        <w:rPr>
                          <w:rFonts w:hint="eastAsia" w:ascii="宋体" w:hAnsi="宋体" w:cs="宋体"/>
                          <w:b/>
                          <w:bCs/>
                          <w:color w:val="5B9BD5" w:themeColor="accent1"/>
                          <w:kern w:val="0"/>
                          <w:sz w:val="21"/>
                          <w:szCs w:val="21"/>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t>生产与运作管理实务</w:t>
                      </w:r>
                    </w:p>
                    <w:p>
                      <w:pPr>
                        <w:jc w:val="center"/>
                        <w:rPr>
                          <w:rFonts w:hint="eastAsia" w:ascii="宋体" w:hAnsi="宋体" w:cs="宋体"/>
                          <w:b/>
                          <w:bCs/>
                          <w:color w:val="5B9BD5" w:themeColor="accent1"/>
                          <w:kern w:val="0"/>
                          <w:sz w:val="21"/>
                          <w:szCs w:val="21"/>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pPr>
                      <w:r>
                        <w:rPr>
                          <w:rFonts w:hint="eastAsia" w:ascii="宋体" w:hAnsi="宋体" w:cs="宋体"/>
                          <w:b/>
                          <w:bCs/>
                          <w:color w:val="5B9BD5" w:themeColor="accent1"/>
                          <w:kern w:val="0"/>
                          <w:sz w:val="21"/>
                          <w:szCs w:val="21"/>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t>国际物流与货运代理</w:t>
                      </w:r>
                    </w:p>
                    <w:p>
                      <w:pPr>
                        <w:jc w:val="center"/>
                        <w:rPr>
                          <w:rFonts w:hint="eastAsia" w:ascii="宋体" w:hAnsi="宋体" w:cs="宋体"/>
                          <w:b/>
                          <w:bCs/>
                          <w:color w:val="5B9BD5" w:themeColor="accent1"/>
                          <w:kern w:val="0"/>
                          <w:sz w:val="21"/>
                          <w:szCs w:val="21"/>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pPr>
                      <w:r>
                        <w:rPr>
                          <w:rFonts w:hint="eastAsia" w:ascii="宋体" w:hAnsi="宋体" w:cs="宋体"/>
                          <w:b/>
                          <w:bCs/>
                          <w:color w:val="5B9BD5" w:themeColor="accent1"/>
                          <w:kern w:val="0"/>
                          <w:sz w:val="21"/>
                          <w:szCs w:val="21"/>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t>物流营销</w:t>
                      </w:r>
                    </w:p>
                    <w:p>
                      <w:pPr>
                        <w:jc w:val="center"/>
                        <w:rPr>
                          <w:rFonts w:hint="eastAsia" w:ascii="宋体" w:hAnsi="宋体" w:cs="宋体"/>
                          <w:color w:val="000000"/>
                          <w:kern w:val="0"/>
                          <w:sz w:val="18"/>
                          <w:szCs w:val="18"/>
                          <w:lang w:eastAsia="zh-CN"/>
                        </w:rPr>
                      </w:pPr>
                    </w:p>
                    <w:p>
                      <w:pPr>
                        <w:jc w:val="center"/>
                        <w:rPr>
                          <w:rFonts w:hint="eastAsia" w:ascii="宋体" w:hAnsi="宋体" w:cs="宋体"/>
                          <w:color w:val="000000"/>
                          <w:kern w:val="0"/>
                          <w:sz w:val="18"/>
                          <w:szCs w:val="18"/>
                          <w:lang w:eastAsia="zh-CN"/>
                        </w:rPr>
                      </w:pPr>
                    </w:p>
                  </w:txbxContent>
                </v:textbox>
              </v:roundrect>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4032885</wp:posOffset>
                </wp:positionH>
                <wp:positionV relativeFrom="paragraph">
                  <wp:posOffset>97790</wp:posOffset>
                </wp:positionV>
                <wp:extent cx="1231265" cy="393065"/>
                <wp:effectExtent l="0" t="0" r="6985" b="6985"/>
                <wp:wrapNone/>
                <wp:docPr id="34" name="圆角矩形 34"/>
                <wp:cNvGraphicFramePr/>
                <a:graphic xmlns:a="http://schemas.openxmlformats.org/drawingml/2006/main">
                  <a:graphicData uri="http://schemas.microsoft.com/office/word/2010/wordprocessingShape">
                    <wps:wsp>
                      <wps:cNvSpPr/>
                      <wps:spPr>
                        <a:xfrm>
                          <a:off x="4977130" y="4491355"/>
                          <a:ext cx="1231265" cy="393065"/>
                        </a:xfrm>
                        <a:prstGeom prst="roundRect">
                          <a:avLst/>
                        </a:prstGeom>
                        <a:effectLst>
                          <a:softEdge rad="50800"/>
                        </a:effectLst>
                      </wps:spPr>
                      <wps:style>
                        <a:lnRef idx="0">
                          <a:srgbClr val="FFFFFF"/>
                        </a:lnRef>
                        <a:fillRef idx="1">
                          <a:schemeClr val="accent4"/>
                        </a:fillRef>
                        <a:effectRef idx="0">
                          <a:srgbClr val="FFFFFF"/>
                        </a:effectRef>
                        <a:fontRef idx="minor">
                          <a:schemeClr val="lt1"/>
                        </a:fontRef>
                      </wps:style>
                      <wps:txbx>
                        <w:txbxContent>
                          <w:p>
                            <w:pPr>
                              <w:jc w:val="center"/>
                              <w:rPr>
                                <w:rFonts w:hint="default" w:eastAsia="宋体"/>
                                <w:lang w:val="en-US" w:eastAsia="zh-CN"/>
                              </w:rPr>
                            </w:pPr>
                            <w:r>
                              <w:rPr>
                                <w:rFonts w:hint="eastAsia"/>
                                <w:lang w:val="en-US" w:eastAsia="zh-CN"/>
                              </w:rPr>
                              <w:t>仓储业务岗位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7.55pt;margin-top:7.7pt;height:30.95pt;width:96.95pt;z-index:251673600;v-text-anchor:middle;mso-width-relative:page;mso-height-relative:page;" fillcolor="#FFC000 [3207]" filled="t" stroked="f" coordsize="21600,21600" arcsize="0.166666666666667" o:gfxdata="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J/S1pLYAAAACQEAAA8A&#10;AAAAAAAAAQAgAAAAOAAAAGRycy9kb3ducmV2LnhtbFBLAQIUABQAAAAIAIdO4kDeaboScwIAALcE&#10;AAAOAAAAAAAAAAEAIAAAAD0BAABkcnMvZTJvRG9jLnhtbFBLBQYAAAAABgAGAFkBAAAiBgAAAAA=&#10;">
                <v:fill on="t" focussize="0,0"/>
                <v:stroke on="f"/>
                <v:imagedata o:title=""/>
                <o:lock v:ext="edit" aspectratio="f"/>
                <v:textbox>
                  <w:txbxContent>
                    <w:p>
                      <w:pPr>
                        <w:jc w:val="center"/>
                        <w:rPr>
                          <w:rFonts w:hint="default" w:eastAsia="宋体"/>
                          <w:lang w:val="en-US" w:eastAsia="zh-CN"/>
                        </w:rPr>
                      </w:pPr>
                      <w:r>
                        <w:rPr>
                          <w:rFonts w:hint="eastAsia"/>
                          <w:lang w:val="en-US" w:eastAsia="zh-CN"/>
                        </w:rPr>
                        <w:t>仓储业务岗位</w:t>
                      </w:r>
                    </w:p>
                  </w:txbxContent>
                </v:textbox>
              </v:roundrect>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819150</wp:posOffset>
                </wp:positionH>
                <wp:positionV relativeFrom="paragraph">
                  <wp:posOffset>177800</wp:posOffset>
                </wp:positionV>
                <wp:extent cx="697865" cy="1243965"/>
                <wp:effectExtent l="0" t="0" r="6985" b="13335"/>
                <wp:wrapNone/>
                <wp:docPr id="11" name="圆角矩形 11"/>
                <wp:cNvGraphicFramePr/>
                <a:graphic xmlns:a="http://schemas.openxmlformats.org/drawingml/2006/main">
                  <a:graphicData uri="http://schemas.microsoft.com/office/word/2010/wordprocessingShape">
                    <wps:wsp>
                      <wps:cNvSpPr/>
                      <wps:spPr>
                        <a:xfrm>
                          <a:off x="0" y="0"/>
                          <a:ext cx="697865" cy="1243965"/>
                        </a:xfrm>
                        <a:prstGeom prst="roundRect">
                          <a:avLst/>
                        </a:prstGeom>
                      </wps:spPr>
                      <wps:style>
                        <a:lnRef idx="0">
                          <a:srgbClr val="FFFFFF"/>
                        </a:lnRef>
                        <a:fillRef idx="3">
                          <a:schemeClr val="accent4"/>
                        </a:fillRef>
                        <a:effectRef idx="0">
                          <a:srgbClr val="FFFFFF"/>
                        </a:effectRef>
                        <a:fontRef idx="minor">
                          <a:schemeClr val="lt1"/>
                        </a:fontRef>
                      </wps:style>
                      <wps:txbx>
                        <w:txbxContent>
                          <w:p>
                            <w:pPr>
                              <w:jc w:val="center"/>
                              <w:rPr>
                                <w:rFonts w:hint="eastAsia"/>
                                <w:lang w:val="en-US" w:eastAsia="zh-CN"/>
                              </w:rPr>
                            </w:pPr>
                            <w:r>
                              <w:rPr>
                                <w:rFonts w:hint="eastAsia"/>
                                <w:lang w:val="en-US" w:eastAsia="zh-CN"/>
                              </w:rPr>
                              <w:t>专业</w:t>
                            </w:r>
                          </w:p>
                          <w:p>
                            <w:pPr>
                              <w:jc w:val="center"/>
                              <w:rPr>
                                <w:rFonts w:hint="default" w:eastAsia="宋体"/>
                                <w:lang w:val="en-US" w:eastAsia="zh-CN"/>
                              </w:rPr>
                            </w:pPr>
                            <w:r>
                              <w:rPr>
                                <w:rFonts w:hint="eastAsia"/>
                                <w:lang w:val="en-US" w:eastAsia="zh-CN"/>
                              </w:rPr>
                              <w:t>核心课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4.5pt;margin-top:14pt;height:97.95pt;width:54.95pt;z-index:251665408;v-text-anchor:middle;mso-width-relative:page;mso-height-relative:page;" fillcolor="#FFC746 [3280]" filled="t" stroked="f" coordsize="21600,21600" arcsize="0.166666666666667" o:gfxdata="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BYAAABkcnMvUEsBAhQAFAAAAAgAh07iQEdrugHXAAAACgEAAA8AAAAAAAAAAQAg&#10;AAAAOAAAAGRycy9kb3ducmV2LnhtbFBLAQIUABQAAAAIAIdO4kDLilM+3QIAACYGAAAOAAAAAAAA&#10;AAEAIAAAADwBAABkcnMvZTJvRG9jLnhtbFBLBQYAAAAABgAGAFkBAACLBgAAAAA=&#10;">
                <v:fill type="gradient" on="t" color2="#E5B600 [3184]" colors="0f #FFC746;32768f #FFC600;65536f #E5B600" focus="100%" focussize="0,0" rotate="t">
                  <o:fill type="gradientUnscaled" v:ext="backwardCompatible"/>
                </v:fill>
                <v:stroke on="f"/>
                <v:imagedata o:title=""/>
                <o:lock v:ext="edit" aspectratio="f"/>
                <v:textbox>
                  <w:txbxContent>
                    <w:p>
                      <w:pPr>
                        <w:jc w:val="center"/>
                        <w:rPr>
                          <w:rFonts w:hint="eastAsia"/>
                          <w:lang w:val="en-US" w:eastAsia="zh-CN"/>
                        </w:rPr>
                      </w:pPr>
                      <w:r>
                        <w:rPr>
                          <w:rFonts w:hint="eastAsia"/>
                          <w:lang w:val="en-US" w:eastAsia="zh-CN"/>
                        </w:rPr>
                        <w:t>专业</w:t>
                      </w:r>
                    </w:p>
                    <w:p>
                      <w:pPr>
                        <w:jc w:val="center"/>
                        <w:rPr>
                          <w:rFonts w:hint="default" w:eastAsia="宋体"/>
                          <w:lang w:val="en-US" w:eastAsia="zh-CN"/>
                        </w:rPr>
                      </w:pPr>
                      <w:r>
                        <w:rPr>
                          <w:rFonts w:hint="eastAsia"/>
                          <w:lang w:val="en-US" w:eastAsia="zh-CN"/>
                        </w:rPr>
                        <w:t>核心课</w:t>
                      </w:r>
                    </w:p>
                  </w:txbxContent>
                </v:textbox>
              </v:roundrect>
            </w:pict>
          </mc:Fallback>
        </mc:AlternateContent>
      </w:r>
    </w:p>
    <w:p>
      <w:pPr>
        <w:widowControl/>
        <w:spacing w:line="440" w:lineRule="exact"/>
        <w:ind w:firstLine="420"/>
        <w:jc w:val="left"/>
        <w:rPr>
          <w:rFonts w:hint="eastAsia" w:ascii="宋体" w:hAnsi="宋体" w:cs="宋体"/>
          <w:color w:val="000000"/>
          <w:kern w:val="0"/>
          <w:sz w:val="24"/>
          <w:szCs w:val="24"/>
        </w:rPr>
      </w:pPr>
      <w:r>
        <w:rPr>
          <w:sz w:val="24"/>
        </w:rPr>
        <mc:AlternateContent>
          <mc:Choice Requires="wps">
            <w:drawing>
              <wp:anchor distT="0" distB="0" distL="114300" distR="114300" simplePos="0" relativeHeight="251674624" behindDoc="0" locked="0" layoutInCell="1" allowOverlap="1">
                <wp:simplePos x="0" y="0"/>
                <wp:positionH relativeFrom="column">
                  <wp:posOffset>4051935</wp:posOffset>
                </wp:positionH>
                <wp:positionV relativeFrom="paragraph">
                  <wp:posOffset>186690</wp:posOffset>
                </wp:positionV>
                <wp:extent cx="1256030" cy="393065"/>
                <wp:effectExtent l="0" t="0" r="1270" b="6985"/>
                <wp:wrapNone/>
                <wp:docPr id="35" name="圆角矩形 35"/>
                <wp:cNvGraphicFramePr/>
                <a:graphic xmlns:a="http://schemas.openxmlformats.org/drawingml/2006/main">
                  <a:graphicData uri="http://schemas.microsoft.com/office/word/2010/wordprocessingShape">
                    <wps:wsp>
                      <wps:cNvSpPr/>
                      <wps:spPr>
                        <a:xfrm>
                          <a:off x="0" y="0"/>
                          <a:ext cx="1256030" cy="393065"/>
                        </a:xfrm>
                        <a:prstGeom prst="roundRect">
                          <a:avLst/>
                        </a:prstGeom>
                        <a:effectLst>
                          <a:softEdge rad="50800"/>
                        </a:effectLst>
                      </wps:spPr>
                      <wps:style>
                        <a:lnRef idx="0">
                          <a:srgbClr val="FFFFFF"/>
                        </a:lnRef>
                        <a:fillRef idx="1">
                          <a:schemeClr val="accent4"/>
                        </a:fillRef>
                        <a:effectRef idx="0">
                          <a:srgbClr val="FFFFFF"/>
                        </a:effectRef>
                        <a:fontRef idx="minor">
                          <a:schemeClr val="lt1"/>
                        </a:fontRef>
                      </wps:style>
                      <wps:txbx>
                        <w:txbxContent>
                          <w:p>
                            <w:pPr>
                              <w:ind w:firstLine="210" w:firstLineChars="100"/>
                              <w:rPr>
                                <w:rFonts w:hint="eastAsia"/>
                                <w:lang w:val="en-US" w:eastAsia="zh-CN"/>
                              </w:rPr>
                            </w:pPr>
                            <w:r>
                              <w:rPr>
                                <w:rFonts w:hint="eastAsia"/>
                                <w:lang w:val="en-US" w:eastAsia="zh-CN"/>
                              </w:rPr>
                              <w:t>运输业务岗位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9.05pt;margin-top:14.7pt;height:30.95pt;width:98.9pt;z-index:251674624;v-text-anchor:middle;mso-width-relative:page;mso-height-relative:page;" fillcolor="#FFC000 [3207]" filled="t" stroked="f" coordsize="21600,21600" arcsize="0.166666666666667" o:gfxdata="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N2LtotkAAAAJAQAADwAAAAAAAAABACAAAAA4&#10;AAAAZHJzL2Rvd25yZXYueG1sUEsBAhQAFAAAAAgAh07iQFYHdo5lAgAAqwQAAA4AAAAAAAAAAQAg&#10;AAAAPgEAAGRycy9lMm9Eb2MueG1sUEsFBgAAAAAGAAYAWQEAABUGAAAAAA==&#10;">
                <v:fill on="t" focussize="0,0"/>
                <v:stroke on="f"/>
                <v:imagedata o:title=""/>
                <o:lock v:ext="edit" aspectratio="f"/>
                <v:textbox>
                  <w:txbxContent>
                    <w:p>
                      <w:pPr>
                        <w:ind w:firstLine="210" w:firstLineChars="100"/>
                        <w:rPr>
                          <w:rFonts w:hint="eastAsia"/>
                          <w:lang w:val="en-US" w:eastAsia="zh-CN"/>
                        </w:rPr>
                      </w:pPr>
                      <w:r>
                        <w:rPr>
                          <w:rFonts w:hint="eastAsia"/>
                          <w:lang w:val="en-US" w:eastAsia="zh-CN"/>
                        </w:rPr>
                        <w:t>运输业务岗位</w:t>
                      </w:r>
                    </w:p>
                  </w:txbxContent>
                </v:textbox>
              </v:roundrect>
            </w:pict>
          </mc:Fallback>
        </mc:AlternateContent>
      </w:r>
    </w:p>
    <w:p>
      <w:pPr>
        <w:widowControl/>
        <w:spacing w:line="440" w:lineRule="exact"/>
        <w:ind w:firstLine="420"/>
        <w:jc w:val="left"/>
        <w:rPr>
          <w:rFonts w:hint="eastAsia" w:ascii="宋体" w:hAnsi="宋体" w:cs="宋体"/>
          <w:color w:val="000000"/>
          <w:kern w:val="0"/>
          <w:sz w:val="24"/>
          <w:szCs w:val="24"/>
        </w:rPr>
      </w:pPr>
      <w:r>
        <w:rPr>
          <w:sz w:val="24"/>
        </w:rPr>
        <mc:AlternateContent>
          <mc:Choice Requires="wps">
            <w:drawing>
              <wp:anchor distT="0" distB="0" distL="114300" distR="114300" simplePos="0" relativeHeight="251677696" behindDoc="0" locked="0" layoutInCell="1" allowOverlap="1">
                <wp:simplePos x="0" y="0"/>
                <wp:positionH relativeFrom="column">
                  <wp:posOffset>3543300</wp:posOffset>
                </wp:positionH>
                <wp:positionV relativeFrom="paragraph">
                  <wp:posOffset>235585</wp:posOffset>
                </wp:positionV>
                <wp:extent cx="527050" cy="190500"/>
                <wp:effectExtent l="0" t="0" r="6350" b="0"/>
                <wp:wrapNone/>
                <wp:docPr id="42" name="右箭头 42"/>
                <wp:cNvGraphicFramePr/>
                <a:graphic xmlns:a="http://schemas.openxmlformats.org/drawingml/2006/main">
                  <a:graphicData uri="http://schemas.microsoft.com/office/word/2010/wordprocessingShape">
                    <wps:wsp>
                      <wps:cNvSpPr/>
                      <wps:spPr>
                        <a:xfrm>
                          <a:off x="4443730" y="5105400"/>
                          <a:ext cx="527050" cy="190500"/>
                        </a:xfrm>
                        <a:prstGeom prst="rightArrow">
                          <a:avLst/>
                        </a:prstGeom>
                      </wps:spPr>
                      <wps:style>
                        <a:lnRef idx="0">
                          <a:srgbClr val="FFFFFF"/>
                        </a:lnRef>
                        <a:fillRef idx="2">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79pt;margin-top:18.55pt;height:15pt;width:41.5pt;z-index:251677696;v-text-anchor:middle;mso-width-relative:page;mso-height-relative:page;" fillcolor="#B1CBE9 [3536]" filled="t" stroked="f" coordsize="21600,21600" o:gfxdata="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BYAAABk&#10;cnMvUEsBAhQAFAAAAAgAh07iQFtq0o7WAAAACQEAAA8AAAAAAAAAAQAgAAAAOAAAAGRycy9kb3du&#10;cmV2LnhtbFBLAQIUABQAAAAIAIdO4kBIXcyrzwIAACIGAAAOAAAAAAAAAAEAIAAAADsBAABkcnMv&#10;ZTJvRG9jLnhtbFBLBQYAAAAABgAGAFkBAAB8BgAAAAA=&#10;" adj="17697,5400">
                <v:fill type="gradient" on="t" color2="#92B9E4 [3376]" colors="0f #B1CBE9;32768f #A3C1E5;65536f #92B9E4" focus="100%" focussize="0,0" rotate="t">
                  <o:fill type="gradientUnscaled" v:ext="backwardCompatible"/>
                </v:fill>
                <v:stroke on="f"/>
                <v:imagedata o:title=""/>
                <o:lock v:ext="edit" aspectratio="f"/>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4044950</wp:posOffset>
                </wp:positionH>
                <wp:positionV relativeFrom="paragraph">
                  <wp:posOffset>250190</wp:posOffset>
                </wp:positionV>
                <wp:extent cx="1282065" cy="436880"/>
                <wp:effectExtent l="0" t="0" r="13335" b="1270"/>
                <wp:wrapNone/>
                <wp:docPr id="36" name="圆角矩形 36"/>
                <wp:cNvGraphicFramePr/>
                <a:graphic xmlns:a="http://schemas.openxmlformats.org/drawingml/2006/main">
                  <a:graphicData uri="http://schemas.microsoft.com/office/word/2010/wordprocessingShape">
                    <wps:wsp>
                      <wps:cNvSpPr/>
                      <wps:spPr>
                        <a:xfrm>
                          <a:off x="0" y="0"/>
                          <a:ext cx="1282065" cy="436880"/>
                        </a:xfrm>
                        <a:prstGeom prst="roundRect">
                          <a:avLst/>
                        </a:prstGeom>
                        <a:effectLst>
                          <a:softEdge rad="50800"/>
                        </a:effectLst>
                      </wps:spPr>
                      <wps:style>
                        <a:lnRef idx="0">
                          <a:srgbClr val="FFFFFF"/>
                        </a:lnRef>
                        <a:fillRef idx="1">
                          <a:schemeClr val="accent4"/>
                        </a:fillRef>
                        <a:effectRef idx="0">
                          <a:srgbClr val="FFFFFF"/>
                        </a:effectRef>
                        <a:fontRef idx="minor">
                          <a:schemeClr val="lt1"/>
                        </a:fontRef>
                      </wps:style>
                      <wps:txbx>
                        <w:txbxContent>
                          <w:p>
                            <w:pPr>
                              <w:rPr>
                                <w:rFonts w:hint="eastAsia"/>
                                <w:lang w:val="en-US" w:eastAsia="zh-CN"/>
                              </w:rPr>
                            </w:pPr>
                            <w:r>
                              <w:rPr>
                                <w:rFonts w:hint="eastAsia"/>
                                <w:lang w:val="en-US" w:eastAsia="zh-CN"/>
                              </w:rPr>
                              <w:t>销售与客服岗位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8.5pt;margin-top:19.7pt;height:34.4pt;width:100.95pt;z-index:251675648;v-text-anchor:middle;mso-width-relative:page;mso-height-relative:page;" fillcolor="#FFC000 [3207]" filled="t" stroked="f" coordsize="21600,21600" arcsize="0.166666666666667" o:gfxdata="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WAAAAZHJzL1BLAQIUABQAAAAIAIdO4kDoyxZb2QAAAAoBAAAPAAAAAAAAAAEAIAAAADgA&#10;AABkcnMvZG93bnJldi54bWxQSwECFAAUAAAACACHTuJArh8ZxmQCAACrBAAADgAAAAAAAAABACAA&#10;AAA+AQAAZHJzL2Uyb0RvYy54bWxQSwUGAAAAAAYABgBZAQAAFAYAAAAA&#10;">
                <v:fill on="t" focussize="0,0"/>
                <v:stroke on="f"/>
                <v:imagedata o:title=""/>
                <o:lock v:ext="edit" aspectratio="f"/>
                <v:textbox>
                  <w:txbxContent>
                    <w:p>
                      <w:pPr>
                        <w:rPr>
                          <w:rFonts w:hint="eastAsia"/>
                          <w:lang w:val="en-US" w:eastAsia="zh-CN"/>
                        </w:rPr>
                      </w:pPr>
                      <w:r>
                        <w:rPr>
                          <w:rFonts w:hint="eastAsia"/>
                          <w:lang w:val="en-US" w:eastAsia="zh-CN"/>
                        </w:rPr>
                        <w:t>销售与客服岗位</w:t>
                      </w:r>
                    </w:p>
                  </w:txbxContent>
                </v:textbox>
              </v:roundrect>
            </w:pict>
          </mc:Fallback>
        </mc:AlternateContent>
      </w:r>
    </w:p>
    <w:p>
      <w:pPr>
        <w:widowControl/>
        <w:spacing w:line="440" w:lineRule="exact"/>
        <w:ind w:firstLine="420"/>
        <w:jc w:val="left"/>
        <w:rPr>
          <w:rFonts w:hint="eastAsia" w:ascii="宋体" w:hAnsi="宋体" w:cs="宋体"/>
          <w:color w:val="000000"/>
          <w:kern w:val="0"/>
          <w:sz w:val="24"/>
          <w:szCs w:val="24"/>
        </w:rPr>
      </w:pPr>
    </w:p>
    <w:p>
      <w:pPr>
        <w:widowControl/>
        <w:spacing w:line="440" w:lineRule="exact"/>
        <w:ind w:firstLine="420"/>
        <w:jc w:val="left"/>
        <w:rPr>
          <w:rFonts w:hint="eastAsia" w:ascii="宋体" w:hAnsi="宋体" w:cs="宋体"/>
          <w:color w:val="000000"/>
          <w:kern w:val="0"/>
          <w:sz w:val="24"/>
          <w:szCs w:val="24"/>
        </w:rPr>
      </w:pPr>
      <w:r>
        <w:rPr>
          <w:sz w:val="24"/>
        </w:rPr>
        <mc:AlternateContent>
          <mc:Choice Requires="wps">
            <w:drawing>
              <wp:anchor distT="0" distB="0" distL="114300" distR="114300" simplePos="0" relativeHeight="251676672" behindDoc="0" locked="0" layoutInCell="1" allowOverlap="1">
                <wp:simplePos x="0" y="0"/>
                <wp:positionH relativeFrom="column">
                  <wp:posOffset>4045585</wp:posOffset>
                </wp:positionH>
                <wp:positionV relativeFrom="paragraph">
                  <wp:posOffset>123190</wp:posOffset>
                </wp:positionV>
                <wp:extent cx="1249680" cy="361315"/>
                <wp:effectExtent l="0" t="0" r="7620" b="635"/>
                <wp:wrapNone/>
                <wp:docPr id="37" name="圆角矩形 37"/>
                <wp:cNvGraphicFramePr/>
                <a:graphic xmlns:a="http://schemas.openxmlformats.org/drawingml/2006/main">
                  <a:graphicData uri="http://schemas.microsoft.com/office/word/2010/wordprocessingShape">
                    <wps:wsp>
                      <wps:cNvSpPr/>
                      <wps:spPr>
                        <a:xfrm>
                          <a:off x="0" y="0"/>
                          <a:ext cx="1249680" cy="361315"/>
                        </a:xfrm>
                        <a:prstGeom prst="roundRect">
                          <a:avLst/>
                        </a:prstGeom>
                        <a:effectLst>
                          <a:softEdge rad="50800"/>
                        </a:effectLst>
                      </wps:spPr>
                      <wps:style>
                        <a:lnRef idx="0">
                          <a:srgbClr val="FFFFFF"/>
                        </a:lnRef>
                        <a:fillRef idx="1">
                          <a:schemeClr val="accent4"/>
                        </a:fillRef>
                        <a:effectRef idx="0">
                          <a:srgbClr val="FFFFFF"/>
                        </a:effectRef>
                        <a:fontRef idx="minor">
                          <a:schemeClr val="lt1"/>
                        </a:fontRef>
                      </wps:style>
                      <wps:txbx>
                        <w:txbxContent>
                          <w:p>
                            <w:pPr>
                              <w:rPr>
                                <w:rFonts w:hint="eastAsia"/>
                                <w:lang w:val="en-US" w:eastAsia="zh-CN"/>
                              </w:rPr>
                            </w:pPr>
                            <w:r>
                              <w:rPr>
                                <w:rFonts w:hint="eastAsia"/>
                                <w:lang w:val="en-US" w:eastAsia="zh-CN"/>
                              </w:rPr>
                              <w:t>物流运营管理岗位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8.55pt;margin-top:9.7pt;height:28.45pt;width:98.4pt;z-index:251676672;v-text-anchor:middle;mso-width-relative:page;mso-height-relative:page;" fillcolor="#FFC000 [3207]" filled="t" stroked="f" coordsize="21600,21600" arcsize="0.166666666666667" o:gfxdata="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WAAAAZHJzL1BLAQIUABQAAAAIAIdO4kD8QtQY2AAAAAkBAAAPAAAAAAAAAAEAIAAAADgA&#10;AABkcnMvZG93bnJldi54bWxQSwECFAAUAAAACACHTuJA78ELa2UCAACrBAAADgAAAAAAAAABACAA&#10;AAA9AQAAZHJzL2Uyb0RvYy54bWxQSwUGAAAAAAYABgBZAQAAFAYAAAAA&#10;">
                <v:fill on="t" focussize="0,0"/>
                <v:stroke on="f"/>
                <v:imagedata o:title=""/>
                <o:lock v:ext="edit" aspectratio="f"/>
                <v:textbox>
                  <w:txbxContent>
                    <w:p>
                      <w:pPr>
                        <w:rPr>
                          <w:rFonts w:hint="eastAsia"/>
                          <w:lang w:val="en-US" w:eastAsia="zh-CN"/>
                        </w:rPr>
                      </w:pPr>
                      <w:r>
                        <w:rPr>
                          <w:rFonts w:hint="eastAsia"/>
                          <w:lang w:val="en-US" w:eastAsia="zh-CN"/>
                        </w:rPr>
                        <w:t>物流运营管理岗位</w:t>
                      </w:r>
                    </w:p>
                  </w:txbxContent>
                </v:textbox>
              </v:roundrect>
            </w:pict>
          </mc:Fallback>
        </mc:AlternateContent>
      </w:r>
    </w:p>
    <w:p>
      <w:pPr>
        <w:widowControl/>
        <w:spacing w:line="440" w:lineRule="exact"/>
        <w:ind w:firstLine="420"/>
        <w:jc w:val="left"/>
        <w:rPr>
          <w:rFonts w:hint="eastAsia" w:ascii="宋体" w:hAnsi="宋体" w:cs="宋体"/>
          <w:color w:val="000000"/>
          <w:kern w:val="0"/>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863600</wp:posOffset>
                </wp:positionH>
                <wp:positionV relativeFrom="paragraph">
                  <wp:posOffset>215265</wp:posOffset>
                </wp:positionV>
                <wp:extent cx="672465" cy="673100"/>
                <wp:effectExtent l="0" t="0" r="13335" b="12700"/>
                <wp:wrapNone/>
                <wp:docPr id="12" name="圆角矩形 12"/>
                <wp:cNvGraphicFramePr/>
                <a:graphic xmlns:a="http://schemas.openxmlformats.org/drawingml/2006/main">
                  <a:graphicData uri="http://schemas.microsoft.com/office/word/2010/wordprocessingShape">
                    <wps:wsp>
                      <wps:cNvSpPr/>
                      <wps:spPr>
                        <a:xfrm>
                          <a:off x="0" y="0"/>
                          <a:ext cx="672465" cy="673100"/>
                        </a:xfrm>
                        <a:prstGeom prst="roundRect">
                          <a:avLst/>
                        </a:prstGeom>
                      </wps:spPr>
                      <wps:style>
                        <a:lnRef idx="0">
                          <a:srgbClr val="FFFFFF"/>
                        </a:lnRef>
                        <a:fillRef idx="3">
                          <a:schemeClr val="accent2"/>
                        </a:fillRef>
                        <a:effectRef idx="0">
                          <a:srgbClr val="FFFFFF"/>
                        </a:effectRef>
                        <a:fontRef idx="minor">
                          <a:schemeClr val="lt1"/>
                        </a:fontRef>
                      </wps:style>
                      <wps:txbx>
                        <w:txbxContent>
                          <w:p>
                            <w:pPr>
                              <w:jc w:val="center"/>
                              <w:rPr>
                                <w:rFonts w:hint="eastAsia"/>
                                <w:lang w:val="en-US" w:eastAsia="zh-CN"/>
                              </w:rPr>
                            </w:pPr>
                            <w:r>
                              <w:rPr>
                                <w:rFonts w:hint="eastAsia"/>
                                <w:lang w:val="en-US" w:eastAsia="zh-CN"/>
                              </w:rPr>
                              <w:t>专业</w:t>
                            </w:r>
                          </w:p>
                          <w:p>
                            <w:pPr>
                              <w:jc w:val="center"/>
                              <w:rPr>
                                <w:rFonts w:hint="default" w:eastAsia="宋体"/>
                                <w:lang w:val="en-US" w:eastAsia="zh-CN"/>
                              </w:rPr>
                            </w:pPr>
                            <w:r>
                              <w:rPr>
                                <w:rFonts w:hint="eastAsia"/>
                                <w:lang w:val="en-US" w:eastAsia="zh-CN"/>
                              </w:rPr>
                              <w:t>基础课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8pt;margin-top:16.95pt;height:53pt;width:52.95pt;z-index:251666432;v-text-anchor:middle;mso-width-relative:page;mso-height-relative:page;" fillcolor="#F18C55 [3280]" filled="t" stroked="f" coordsize="21600,21600" arcsize="0.166666666666667" o:gfxdata="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WAAAAZHJzL1BLAQIUABQAAAAIAIdO4kAMuDPs2AAAAAoBAAAPAAAAAAAA&#10;AAEAIAAAADgAAABkcnMvZG93bnJldi54bWxQSwECFAAUAAAACACHTuJAyEOqZOACAAAlBgAADgAA&#10;AAAAAAABACAAAAA9AQAAZHJzL2Uyb0RvYy54bWxQSwUGAAAAAAYABgBZAQAAjwYAAAAA&#10;">
                <v:fill type="gradient" on="t" color2="#E56B17 [3184]" colors="0f #F18C55;32768f #F67B28;65536f #E56B17" focus="100%" focussize="0,0" rotate="t">
                  <o:fill type="gradientUnscaled" v:ext="backwardCompatible"/>
                </v:fill>
                <v:stroke on="f"/>
                <v:imagedata o:title=""/>
                <o:lock v:ext="edit" aspectratio="f"/>
                <v:textbox>
                  <w:txbxContent>
                    <w:p>
                      <w:pPr>
                        <w:jc w:val="center"/>
                        <w:rPr>
                          <w:rFonts w:hint="eastAsia"/>
                          <w:lang w:val="en-US" w:eastAsia="zh-CN"/>
                        </w:rPr>
                      </w:pPr>
                      <w:r>
                        <w:rPr>
                          <w:rFonts w:hint="eastAsia"/>
                          <w:lang w:val="en-US" w:eastAsia="zh-CN"/>
                        </w:rPr>
                        <w:t>专业</w:t>
                      </w:r>
                    </w:p>
                    <w:p>
                      <w:pPr>
                        <w:jc w:val="center"/>
                        <w:rPr>
                          <w:rFonts w:hint="default" w:eastAsia="宋体"/>
                          <w:lang w:val="en-US" w:eastAsia="zh-CN"/>
                        </w:rPr>
                      </w:pPr>
                      <w:r>
                        <w:rPr>
                          <w:rFonts w:hint="eastAsia"/>
                          <w:lang w:val="en-US" w:eastAsia="zh-CN"/>
                        </w:rPr>
                        <w:t>基础课</w:t>
                      </w:r>
                    </w:p>
                  </w:txbxContent>
                </v:textbox>
              </v:roundrect>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1663700</wp:posOffset>
                </wp:positionH>
                <wp:positionV relativeFrom="paragraph">
                  <wp:posOffset>263525</wp:posOffset>
                </wp:positionV>
                <wp:extent cx="3575050" cy="610870"/>
                <wp:effectExtent l="4445" t="4445" r="20955" b="13335"/>
                <wp:wrapNone/>
                <wp:docPr id="32" name="圆角矩形 32"/>
                <wp:cNvGraphicFramePr/>
                <a:graphic xmlns:a="http://schemas.openxmlformats.org/drawingml/2006/main">
                  <a:graphicData uri="http://schemas.microsoft.com/office/word/2010/wordprocessingShape">
                    <wps:wsp>
                      <wps:cNvSpPr/>
                      <wps:spPr>
                        <a:xfrm>
                          <a:off x="2557780" y="5629275"/>
                          <a:ext cx="3575050" cy="610870"/>
                        </a:xfrm>
                        <a:prstGeom prst="roundRect">
                          <a:avLst/>
                        </a:prstGeom>
                        <a:ln w="6350" cap="flat" cmpd="sng" algn="ctr">
                          <a:solidFill>
                            <a:schemeClr val="accent2"/>
                          </a:solidFill>
                          <a:prstDash val="dash"/>
                          <a:miter lim="800000"/>
                        </a:ln>
                      </wps:spPr>
                      <wps:style>
                        <a:lnRef idx="0">
                          <a:schemeClr val="accent6"/>
                        </a:lnRef>
                        <a:fillRef idx="0">
                          <a:srgbClr val="FFFFFF"/>
                        </a:fillRef>
                        <a:effectRef idx="0">
                          <a:srgbClr val="FFFFFF"/>
                        </a:effectRef>
                        <a:fontRef idx="minor">
                          <a:schemeClr val="tx1"/>
                        </a:fontRef>
                      </wps:style>
                      <wps:txbx>
                        <w:txbxContent>
                          <w:p>
                            <w:pPr>
                              <w:jc w:val="center"/>
                              <w:rPr>
                                <w:rFonts w:hint="eastAsia" w:eastAsia="宋体"/>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物流管理基础</w:t>
                            </w: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货物学基础</w:t>
                            </w: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管理学基础</w:t>
                            </w: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经济学基础</w:t>
                            </w: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、基础会计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1pt;margin-top:20.75pt;height:48.1pt;width:281.5pt;z-index:251671552;v-text-anchor:middle;mso-width-relative:page;mso-height-relative:page;" filled="f" stroked="t" coordsize="21600,21600" arcsize="0.166666666666667" o:gfxdata="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WAAAAZHJz&#10;L1BLAQIUABQAAAAIAIdO4kA+XDZ51wAAAAoBAAAPAAAAAAAAAAEAIAAAADgAAABkcnMvZG93bnJl&#10;di54bWxQSwECFAAUAAAACACHTuJA+kHaOJMCAADtBAAADgAAAAAAAAABACAAAAA8AQAAZHJzL2Uy&#10;b0RvYy54bWxQSwUGAAAAAAYABgBZAQAAQQYAAAAA&#10;">
                <v:fill on="f" focussize="0,0"/>
                <v:stroke weight="0.5pt" color="#ED7D31 [3205]" miterlimit="8" joinstyle="miter" dashstyle="dash"/>
                <v:imagedata o:title=""/>
                <o:lock v:ext="edit" aspectratio="f"/>
                <v:textbox>
                  <w:txbxContent>
                    <w:p>
                      <w:pPr>
                        <w:jc w:val="center"/>
                        <w:rPr>
                          <w:rFonts w:hint="eastAsia" w:eastAsia="宋体"/>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物流管理基础</w:t>
                      </w: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货物学基础</w:t>
                      </w: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管理学基础</w:t>
                      </w: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经济学基础</w:t>
                      </w: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、基础会计</w:t>
                      </w:r>
                    </w:p>
                  </w:txbxContent>
                </v:textbox>
              </v:roundrect>
            </w:pict>
          </mc:Fallback>
        </mc:AlternateContent>
      </w:r>
    </w:p>
    <w:p>
      <w:pPr>
        <w:widowControl/>
        <w:spacing w:line="440" w:lineRule="exact"/>
        <w:ind w:firstLine="420"/>
        <w:jc w:val="left"/>
        <w:rPr>
          <w:rFonts w:hint="eastAsia" w:ascii="宋体" w:hAnsi="宋体" w:cs="宋体"/>
          <w:color w:val="000000"/>
          <w:kern w:val="0"/>
          <w:sz w:val="24"/>
          <w:szCs w:val="24"/>
        </w:rPr>
      </w:pPr>
    </w:p>
    <w:p>
      <w:pPr>
        <w:widowControl/>
        <w:spacing w:line="440" w:lineRule="exact"/>
        <w:ind w:firstLine="420"/>
        <w:jc w:val="left"/>
        <w:rPr>
          <w:rFonts w:hint="eastAsia" w:ascii="宋体" w:hAnsi="宋体" w:cs="宋体"/>
          <w:color w:val="000000"/>
          <w:kern w:val="0"/>
          <w:sz w:val="24"/>
          <w:szCs w:val="24"/>
        </w:rPr>
      </w:pPr>
    </w:p>
    <w:p>
      <w:pPr>
        <w:widowControl/>
        <w:spacing w:line="440" w:lineRule="exact"/>
        <w:ind w:firstLine="420"/>
        <w:jc w:val="left"/>
        <w:rPr>
          <w:rFonts w:hint="eastAsia" w:ascii="宋体" w:hAnsi="宋体" w:cs="宋体"/>
          <w:color w:val="000000"/>
          <w:kern w:val="0"/>
          <w:sz w:val="24"/>
          <w:szCs w:val="24"/>
        </w:rPr>
      </w:pPr>
      <w:r>
        <w:rPr>
          <w:sz w:val="24"/>
        </w:rPr>
        <mc:AlternateContent>
          <mc:Choice Requires="wps">
            <w:drawing>
              <wp:anchor distT="0" distB="0" distL="114300" distR="114300" simplePos="0" relativeHeight="251670528" behindDoc="0" locked="0" layoutInCell="1" allowOverlap="1">
                <wp:simplePos x="0" y="0"/>
                <wp:positionH relativeFrom="column">
                  <wp:posOffset>1663700</wp:posOffset>
                </wp:positionH>
                <wp:positionV relativeFrom="paragraph">
                  <wp:posOffset>213360</wp:posOffset>
                </wp:positionV>
                <wp:extent cx="3543300" cy="546100"/>
                <wp:effectExtent l="4445" t="4445" r="14605" b="20955"/>
                <wp:wrapNone/>
                <wp:docPr id="31" name="圆角矩形 31"/>
                <wp:cNvGraphicFramePr/>
                <a:graphic xmlns:a="http://schemas.openxmlformats.org/drawingml/2006/main">
                  <a:graphicData uri="http://schemas.microsoft.com/office/word/2010/wordprocessingShape">
                    <wps:wsp>
                      <wps:cNvSpPr/>
                      <wps:spPr>
                        <a:xfrm>
                          <a:off x="2494280" y="6689725"/>
                          <a:ext cx="3543300" cy="546100"/>
                        </a:xfrm>
                        <a:prstGeom prst="roundRect">
                          <a:avLst/>
                        </a:prstGeom>
                        <a:ln w="6350" cap="flat" cmpd="sng" algn="ctr">
                          <a:solidFill>
                            <a:schemeClr val="accent3"/>
                          </a:solidFill>
                          <a:prstDash val="dash"/>
                          <a:miter lim="800000"/>
                        </a:ln>
                      </wps:spPr>
                      <wps:style>
                        <a:lnRef idx="0">
                          <a:schemeClr val="accent6"/>
                        </a:lnRef>
                        <a:fillRef idx="0">
                          <a:srgbClr val="FFFFFF"/>
                        </a:fillRef>
                        <a:effectRef idx="0">
                          <a:srgbClr val="FFFFFF"/>
                        </a:effectRef>
                        <a:fontRef idx="minor">
                          <a:schemeClr val="tx1"/>
                        </a:fontRef>
                      </wps:style>
                      <wps:txbx>
                        <w:txbxContent>
                          <w:p>
                            <w:pPr>
                              <w:jc w:val="center"/>
                              <w:rPr>
                                <w:rFonts w:hint="default" w:eastAsia="宋体"/>
                                <w:b/>
                                <w:bCs/>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b/>
                                <w:bCs/>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思想道德素质类、美育类、创新创业教育类、体育类、基础知识应用类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1pt;margin-top:16.8pt;height:43pt;width:279pt;z-index:251670528;v-text-anchor:middle;mso-width-relative:page;mso-height-relative:page;" filled="f" stroked="t" coordsize="21600,21600" arcsize="0.166666666666667" o:gfxdata="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pRwtsdYAAAAKAQAADwAAAAAAAAABACAAAAA4AAAAZHJzL2Rvd25yZXYueG1s&#10;UEsBAhQAFAAAAAgAh07iQJ3VJjKPAgAA7QQAAA4AAAAAAAAAAQAgAAAAOwEAAGRycy9lMm9Eb2Mu&#10;eG1sUEsFBgAAAAAGAAYAWQEAADwGAAAAAA==&#10;">
                <v:fill on="f" focussize="0,0"/>
                <v:stroke weight="0.5pt" color="#A5A5A5 [3206]" miterlimit="8" joinstyle="miter" dashstyle="dash"/>
                <v:imagedata o:title=""/>
                <o:lock v:ext="edit" aspectratio="f"/>
                <v:textbox>
                  <w:txbxContent>
                    <w:p>
                      <w:pPr>
                        <w:jc w:val="center"/>
                        <w:rPr>
                          <w:rFonts w:hint="default" w:eastAsia="宋体"/>
                          <w:b/>
                          <w:bCs/>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b/>
                          <w:bCs/>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思想道德素质类、美育类、创新创业教育类、体育类、基础知识应用类</w:t>
                      </w:r>
                    </w:p>
                  </w:txbxContent>
                </v:textbox>
              </v:roundrect>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825500</wp:posOffset>
                </wp:positionH>
                <wp:positionV relativeFrom="paragraph">
                  <wp:posOffset>144780</wp:posOffset>
                </wp:positionV>
                <wp:extent cx="692150" cy="591185"/>
                <wp:effectExtent l="0" t="0" r="12700" b="18415"/>
                <wp:wrapNone/>
                <wp:docPr id="13" name="圆角矩形 13"/>
                <wp:cNvGraphicFramePr/>
                <a:graphic xmlns:a="http://schemas.openxmlformats.org/drawingml/2006/main">
                  <a:graphicData uri="http://schemas.microsoft.com/office/word/2010/wordprocessingShape">
                    <wps:wsp>
                      <wps:cNvSpPr/>
                      <wps:spPr>
                        <a:xfrm>
                          <a:off x="0" y="0"/>
                          <a:ext cx="692150" cy="591185"/>
                        </a:xfrm>
                        <a:prstGeom prst="roundRect">
                          <a:avLst/>
                        </a:prstGeom>
                      </wps:spPr>
                      <wps:style>
                        <a:lnRef idx="0">
                          <a:srgbClr val="FFFFFF"/>
                        </a:lnRef>
                        <a:fillRef idx="3">
                          <a:schemeClr val="accent3"/>
                        </a:fillRef>
                        <a:effectRef idx="0">
                          <a:srgbClr val="FFFFFF"/>
                        </a:effectRef>
                        <a:fontRef idx="minor">
                          <a:schemeClr val="dk1"/>
                        </a:fontRef>
                      </wps:style>
                      <wps:txbx>
                        <w:txbxContent>
                          <w:p>
                            <w:pPr>
                              <w:jc w:val="center"/>
                              <w:rPr>
                                <w:rFonts w:hint="eastAsia"/>
                                <w:lang w:val="en-US" w:eastAsia="zh-CN"/>
                              </w:rPr>
                            </w:pPr>
                            <w:r>
                              <w:rPr>
                                <w:rFonts w:hint="eastAsia"/>
                                <w:lang w:val="en-US" w:eastAsia="zh-CN"/>
                              </w:rPr>
                              <w:t>公共</w:t>
                            </w:r>
                          </w:p>
                          <w:p>
                            <w:pPr>
                              <w:jc w:val="center"/>
                              <w:rPr>
                                <w:rFonts w:hint="eastAsia" w:eastAsia="宋体"/>
                                <w:lang w:val="en-US" w:eastAsia="zh-CN"/>
                              </w:rPr>
                            </w:pPr>
                            <w:r>
                              <w:rPr>
                                <w:rFonts w:hint="eastAsia"/>
                                <w:lang w:val="en-US" w:eastAsia="zh-CN"/>
                              </w:rPr>
                              <w:t>基础课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5pt;margin-top:11.4pt;height:46.55pt;width:54.5pt;z-index:251667456;v-text-anchor:middle;mso-width-relative:page;mso-height-relative:page;" fillcolor="#AFAFAF [3280]" filled="t" stroked="f" coordsize="21600,21600" arcsize="0.166666666666667" o:gfxdata="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FgAAAGRycy9QSwECFAAUAAAACACHTuJA3X7m+9UAAAAKAQAADwAAAAAAAAABACAAAAA4&#10;AAAAZHJzL2Rvd25yZXYueG1sUEsBAhQAFAAAAAgAh07iQNeODHTbAgAAJQYAAA4AAAAAAAAAAQAg&#10;AAAAOgEAAGRycy9lMm9Eb2MueG1sUEsFBgAAAAAGAAYAWQEAAIcGAAAAAA==&#10;">
                <v:fill type="gradient" on="t" color2="#929292 [3184]" colors="0f #AFAFAF;32768f #A5A5A5;65536f #929292" focus="100%" focussize="0,0" rotate="t">
                  <o:fill type="gradientUnscaled" v:ext="backwardCompatible"/>
                </v:fill>
                <v:stroke on="f"/>
                <v:imagedata o:title=""/>
                <o:lock v:ext="edit" aspectratio="f"/>
                <v:textbox>
                  <w:txbxContent>
                    <w:p>
                      <w:pPr>
                        <w:jc w:val="center"/>
                        <w:rPr>
                          <w:rFonts w:hint="eastAsia"/>
                          <w:lang w:val="en-US" w:eastAsia="zh-CN"/>
                        </w:rPr>
                      </w:pPr>
                      <w:r>
                        <w:rPr>
                          <w:rFonts w:hint="eastAsia"/>
                          <w:lang w:val="en-US" w:eastAsia="zh-CN"/>
                        </w:rPr>
                        <w:t>公共</w:t>
                      </w:r>
                    </w:p>
                    <w:p>
                      <w:pPr>
                        <w:jc w:val="center"/>
                        <w:rPr>
                          <w:rFonts w:hint="eastAsia" w:eastAsia="宋体"/>
                          <w:lang w:val="en-US" w:eastAsia="zh-CN"/>
                        </w:rPr>
                      </w:pPr>
                      <w:r>
                        <w:rPr>
                          <w:rFonts w:hint="eastAsia"/>
                          <w:lang w:val="en-US" w:eastAsia="zh-CN"/>
                        </w:rPr>
                        <w:t>基础课</w:t>
                      </w:r>
                    </w:p>
                  </w:txbxContent>
                </v:textbox>
              </v:roundrect>
            </w:pict>
          </mc:Fallback>
        </mc:AlternateContent>
      </w:r>
    </w:p>
    <w:p>
      <w:pPr>
        <w:snapToGrid w:val="0"/>
        <w:spacing w:line="560" w:lineRule="exact"/>
        <w:ind w:firstLine="562" w:firstLineChars="200"/>
        <w:rPr>
          <w:rFonts w:hint="eastAsia" w:ascii="宋体" w:hAnsi="宋体"/>
          <w:b/>
          <w:sz w:val="28"/>
          <w:szCs w:val="28"/>
        </w:rPr>
      </w:pPr>
    </w:p>
    <w:p>
      <w:pPr>
        <w:snapToGrid w:val="0"/>
        <w:spacing w:line="560" w:lineRule="exact"/>
        <w:ind w:firstLine="562" w:firstLineChars="200"/>
        <w:rPr>
          <w:rFonts w:hint="eastAsia" w:ascii="宋体" w:hAnsi="宋体"/>
          <w:b/>
          <w:sz w:val="28"/>
          <w:szCs w:val="28"/>
        </w:rPr>
      </w:pPr>
    </w:p>
    <w:p>
      <w:pPr>
        <w:snapToGrid w:val="0"/>
        <w:spacing w:line="560" w:lineRule="exact"/>
        <w:ind w:firstLine="562" w:firstLineChars="200"/>
        <w:rPr>
          <w:rFonts w:ascii="宋体" w:hAnsi="宋体"/>
          <w:b/>
          <w:sz w:val="28"/>
          <w:szCs w:val="28"/>
        </w:rPr>
      </w:pPr>
      <w:r>
        <w:rPr>
          <w:rFonts w:hint="eastAsia" w:ascii="宋体" w:hAnsi="宋体"/>
          <w:b/>
          <w:sz w:val="28"/>
          <w:szCs w:val="28"/>
        </w:rPr>
        <w:t>（二）公共必修课程</w:t>
      </w:r>
    </w:p>
    <w:p>
      <w:pPr>
        <w:jc w:val="center"/>
        <w:rPr>
          <w:sz w:val="24"/>
        </w:rPr>
      </w:pPr>
      <w:r>
        <w:rPr>
          <w:rFonts w:hint="eastAsia" w:ascii="宋体" w:hAnsi="宋体"/>
          <w:b/>
          <w:sz w:val="28"/>
          <w:szCs w:val="28"/>
          <w:lang w:val="en-US" w:eastAsia="zh-CN"/>
        </w:rPr>
        <w:t xml:space="preserve">       </w:t>
      </w:r>
      <w:r>
        <w:rPr>
          <w:rFonts w:hint="eastAsia"/>
          <w:sz w:val="18"/>
          <w:szCs w:val="18"/>
        </w:rPr>
        <w:t>表4：</w:t>
      </w:r>
      <w:r>
        <w:rPr>
          <w:rFonts w:hint="eastAsia"/>
          <w:sz w:val="18"/>
          <w:szCs w:val="18"/>
          <w:lang w:eastAsia="zh-CN"/>
        </w:rPr>
        <w:t>现代物流管理</w:t>
      </w:r>
      <w:r>
        <w:rPr>
          <w:rFonts w:hint="eastAsia"/>
          <w:sz w:val="18"/>
          <w:szCs w:val="18"/>
        </w:rPr>
        <w:t>专业公共必修课程一览表</w:t>
      </w:r>
    </w:p>
    <w:tbl>
      <w:tblPr>
        <w:tblStyle w:val="10"/>
        <w:tblW w:w="9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110"/>
        <w:gridCol w:w="2055"/>
        <w:gridCol w:w="1695"/>
        <w:gridCol w:w="184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trPr>
        <w:tc>
          <w:tcPr>
            <w:tcW w:w="638" w:type="dxa"/>
            <w:vAlign w:val="center"/>
          </w:tcPr>
          <w:p>
            <w:pPr>
              <w:spacing w:line="360" w:lineRule="auto"/>
              <w:jc w:val="center"/>
              <w:rPr>
                <w:rFonts w:hint="eastAsia"/>
                <w:b/>
                <w:sz w:val="18"/>
                <w:szCs w:val="18"/>
              </w:rPr>
            </w:pPr>
            <w:r>
              <w:rPr>
                <w:rFonts w:hint="eastAsia"/>
                <w:b/>
                <w:sz w:val="18"/>
                <w:szCs w:val="18"/>
              </w:rPr>
              <w:t>序号</w:t>
            </w:r>
          </w:p>
        </w:tc>
        <w:tc>
          <w:tcPr>
            <w:tcW w:w="1110" w:type="dxa"/>
            <w:vAlign w:val="center"/>
          </w:tcPr>
          <w:p>
            <w:pPr>
              <w:spacing w:line="360" w:lineRule="auto"/>
              <w:jc w:val="center"/>
              <w:rPr>
                <w:rFonts w:hint="eastAsia"/>
                <w:b/>
                <w:sz w:val="18"/>
                <w:szCs w:val="18"/>
              </w:rPr>
            </w:pPr>
            <w:r>
              <w:rPr>
                <w:rFonts w:hint="eastAsia"/>
                <w:b/>
                <w:sz w:val="18"/>
                <w:szCs w:val="18"/>
              </w:rPr>
              <w:t>课程名称</w:t>
            </w:r>
          </w:p>
        </w:tc>
        <w:tc>
          <w:tcPr>
            <w:tcW w:w="2055" w:type="dxa"/>
            <w:vAlign w:val="center"/>
          </w:tcPr>
          <w:p>
            <w:pPr>
              <w:spacing w:line="360" w:lineRule="auto"/>
              <w:jc w:val="center"/>
              <w:rPr>
                <w:rFonts w:hint="eastAsia"/>
                <w:b/>
                <w:sz w:val="18"/>
                <w:szCs w:val="18"/>
              </w:rPr>
            </w:pPr>
            <w:r>
              <w:rPr>
                <w:rFonts w:hint="eastAsia"/>
                <w:b/>
                <w:sz w:val="18"/>
                <w:szCs w:val="18"/>
              </w:rPr>
              <w:t>课程目标</w:t>
            </w:r>
          </w:p>
        </w:tc>
        <w:tc>
          <w:tcPr>
            <w:tcW w:w="1695" w:type="dxa"/>
            <w:vAlign w:val="center"/>
          </w:tcPr>
          <w:p>
            <w:pPr>
              <w:spacing w:line="360" w:lineRule="auto"/>
              <w:jc w:val="center"/>
              <w:rPr>
                <w:rFonts w:hint="eastAsia"/>
                <w:b/>
                <w:sz w:val="18"/>
                <w:szCs w:val="18"/>
              </w:rPr>
            </w:pPr>
            <w:r>
              <w:rPr>
                <w:rFonts w:hint="eastAsia"/>
                <w:b/>
                <w:sz w:val="18"/>
                <w:szCs w:val="18"/>
              </w:rPr>
              <w:t>主要教学内容</w:t>
            </w:r>
          </w:p>
        </w:tc>
        <w:tc>
          <w:tcPr>
            <w:tcW w:w="1845" w:type="dxa"/>
            <w:vAlign w:val="center"/>
          </w:tcPr>
          <w:p>
            <w:pPr>
              <w:spacing w:line="360" w:lineRule="auto"/>
              <w:jc w:val="center"/>
              <w:rPr>
                <w:rFonts w:hint="eastAsia"/>
                <w:b/>
                <w:sz w:val="18"/>
                <w:szCs w:val="18"/>
              </w:rPr>
            </w:pPr>
            <w:r>
              <w:rPr>
                <w:rFonts w:hint="eastAsia"/>
                <w:b/>
                <w:sz w:val="18"/>
                <w:szCs w:val="18"/>
              </w:rPr>
              <w:t>主要教学</w:t>
            </w:r>
            <w:r>
              <w:rPr>
                <w:b/>
                <w:sz w:val="18"/>
                <w:szCs w:val="18"/>
              </w:rPr>
              <w:t>要求</w:t>
            </w:r>
          </w:p>
        </w:tc>
        <w:tc>
          <w:tcPr>
            <w:tcW w:w="1860" w:type="dxa"/>
            <w:vAlign w:val="center"/>
          </w:tcPr>
          <w:p>
            <w:pPr>
              <w:spacing w:line="360" w:lineRule="auto"/>
              <w:jc w:val="center"/>
              <w:rPr>
                <w:rFonts w:hint="eastAsia"/>
                <w:b/>
                <w:color w:val="000000"/>
                <w:sz w:val="18"/>
                <w:szCs w:val="18"/>
              </w:rPr>
            </w:pPr>
            <w:r>
              <w:rPr>
                <w:rFonts w:hint="eastAsia"/>
                <w:b/>
                <w:color w:val="000000"/>
                <w:sz w:val="18"/>
                <w:szCs w:val="18"/>
              </w:rPr>
              <w:t>课程思政育人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111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思想道德与法治</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思想道德修养与法律基础是一门融思想性、政治性、知识性、综合性和实践性于一体，帮助大学生树立正确的人生观、价值观、道德观和法制观，正确地认识人生理论和实践的思想政治理论课。课程总体目标是要通过几个方面专题教学，引导学生正确认识立志、树德和做人的道理，选择正确的成才之路。</w:t>
            </w:r>
          </w:p>
          <w:p>
            <w:pPr>
              <w:jc w:val="both"/>
              <w:rPr>
                <w:rFonts w:hint="eastAsia" w:ascii="宋体" w:hAnsi="宋体" w:eastAsia="宋体" w:cs="宋体"/>
                <w:sz w:val="18"/>
                <w:szCs w:val="18"/>
              </w:rPr>
            </w:pPr>
            <w:r>
              <w:rPr>
                <w:rFonts w:hint="eastAsia" w:ascii="宋体" w:hAnsi="宋体" w:eastAsia="宋体" w:cs="宋体"/>
                <w:sz w:val="18"/>
                <w:szCs w:val="18"/>
              </w:rPr>
              <w:t>1、素质目标</w:t>
            </w:r>
          </w:p>
          <w:p>
            <w:pPr>
              <w:jc w:val="both"/>
              <w:rPr>
                <w:rFonts w:hint="eastAsia" w:ascii="宋体" w:hAnsi="宋体" w:eastAsia="宋体" w:cs="宋体"/>
                <w:sz w:val="18"/>
                <w:szCs w:val="18"/>
              </w:rPr>
            </w:pPr>
            <w:r>
              <w:rPr>
                <w:rFonts w:hint="eastAsia" w:ascii="宋体" w:hAnsi="宋体" w:eastAsia="宋体" w:cs="宋体"/>
                <w:sz w:val="18"/>
                <w:szCs w:val="18"/>
              </w:rPr>
              <w:t>以社会主义核心价值观教育为主线，帮助学生形成符合时代特征的精神品质，塑造学生的政治人格。</w:t>
            </w:r>
          </w:p>
          <w:p>
            <w:pPr>
              <w:jc w:val="both"/>
              <w:rPr>
                <w:rFonts w:hint="eastAsia" w:ascii="宋体" w:hAnsi="宋体" w:eastAsia="宋体" w:cs="宋体"/>
                <w:sz w:val="18"/>
                <w:szCs w:val="18"/>
              </w:rPr>
            </w:pPr>
            <w:r>
              <w:rPr>
                <w:rFonts w:hint="eastAsia" w:ascii="宋体" w:hAnsi="宋体" w:eastAsia="宋体" w:cs="宋体"/>
                <w:sz w:val="18"/>
                <w:szCs w:val="18"/>
              </w:rPr>
              <w:t>2、知识目标：</w:t>
            </w:r>
          </w:p>
          <w:p>
            <w:pPr>
              <w:jc w:val="both"/>
              <w:rPr>
                <w:rFonts w:hint="eastAsia" w:ascii="宋体" w:hAnsi="宋体" w:eastAsia="宋体" w:cs="宋体"/>
                <w:sz w:val="18"/>
                <w:szCs w:val="18"/>
              </w:rPr>
            </w:pPr>
            <w:r>
              <w:rPr>
                <w:rFonts w:hint="eastAsia" w:ascii="宋体" w:hAnsi="宋体" w:eastAsia="宋体" w:cs="宋体"/>
                <w:sz w:val="18"/>
                <w:szCs w:val="18"/>
              </w:rPr>
              <w:t>强化对学生的道德与法律意识教育，帮助学生提升精神状态、培育健康的心理素质，增强学生的人文知识底蕴。</w:t>
            </w:r>
          </w:p>
          <w:p>
            <w:pPr>
              <w:jc w:val="both"/>
              <w:rPr>
                <w:rFonts w:hint="eastAsia" w:ascii="宋体" w:hAnsi="宋体" w:eastAsia="宋体" w:cs="宋体"/>
                <w:sz w:val="18"/>
                <w:szCs w:val="18"/>
              </w:rPr>
            </w:pPr>
            <w:r>
              <w:rPr>
                <w:rFonts w:hint="eastAsia" w:ascii="宋体" w:hAnsi="宋体" w:eastAsia="宋体" w:cs="宋体"/>
                <w:sz w:val="18"/>
                <w:szCs w:val="18"/>
              </w:rPr>
              <w:t>3、能力目标</w:t>
            </w:r>
          </w:p>
          <w:p>
            <w:pPr>
              <w:jc w:val="both"/>
              <w:rPr>
                <w:rFonts w:hint="eastAsia" w:ascii="宋体" w:hAnsi="宋体" w:eastAsia="宋体" w:cs="宋体"/>
                <w:sz w:val="18"/>
                <w:szCs w:val="18"/>
              </w:rPr>
            </w:pPr>
            <w:r>
              <w:rPr>
                <w:rFonts w:hint="eastAsia" w:ascii="宋体" w:hAnsi="宋体" w:eastAsia="宋体" w:cs="宋体"/>
                <w:sz w:val="18"/>
                <w:szCs w:val="18"/>
              </w:rPr>
              <w:t>突出职业素质和职业核心能力的培养，帮助学生养成良好的职业价值观和职业纪律，提升学生的就业竞争力、创新创业能力和服务社会的能力。</w:t>
            </w: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《思想道德修养与法律基础》课主要内容包括四大模块，七个章节：</w:t>
            </w:r>
          </w:p>
          <w:p>
            <w:pPr>
              <w:jc w:val="both"/>
              <w:rPr>
                <w:rFonts w:hint="eastAsia" w:ascii="宋体" w:hAnsi="宋体" w:eastAsia="宋体" w:cs="宋体"/>
                <w:b/>
                <w:sz w:val="18"/>
                <w:szCs w:val="18"/>
              </w:rPr>
            </w:pPr>
            <w:r>
              <w:rPr>
                <w:rFonts w:hint="eastAsia" w:ascii="宋体" w:hAnsi="宋体" w:eastAsia="宋体" w:cs="宋体"/>
                <w:b/>
                <w:sz w:val="18"/>
                <w:szCs w:val="18"/>
              </w:rPr>
              <w:t>认知教育模块：</w:t>
            </w:r>
          </w:p>
          <w:p>
            <w:pPr>
              <w:jc w:val="both"/>
              <w:rPr>
                <w:rFonts w:hint="eastAsia" w:ascii="宋体" w:hAnsi="宋体" w:eastAsia="宋体" w:cs="宋体"/>
                <w:sz w:val="18"/>
                <w:szCs w:val="18"/>
              </w:rPr>
            </w:pPr>
            <w:r>
              <w:rPr>
                <w:rFonts w:hint="eastAsia" w:ascii="宋体" w:hAnsi="宋体" w:eastAsia="宋体" w:cs="宋体"/>
                <w:sz w:val="18"/>
                <w:szCs w:val="18"/>
              </w:rPr>
              <w:t>（绪论、第一章 人生的青春之问）</w:t>
            </w:r>
          </w:p>
          <w:p>
            <w:pPr>
              <w:jc w:val="both"/>
              <w:rPr>
                <w:rFonts w:hint="eastAsia" w:ascii="宋体" w:hAnsi="宋体" w:eastAsia="宋体" w:cs="宋体"/>
                <w:b/>
                <w:sz w:val="18"/>
                <w:szCs w:val="18"/>
              </w:rPr>
            </w:pPr>
            <w:r>
              <w:rPr>
                <w:rFonts w:hint="eastAsia" w:ascii="宋体" w:hAnsi="宋体" w:eastAsia="宋体" w:cs="宋体"/>
                <w:b/>
                <w:sz w:val="18"/>
                <w:szCs w:val="18"/>
              </w:rPr>
              <w:t>思想教育模块：</w:t>
            </w:r>
          </w:p>
          <w:p>
            <w:pPr>
              <w:jc w:val="both"/>
              <w:rPr>
                <w:rFonts w:hint="eastAsia" w:ascii="宋体" w:hAnsi="宋体" w:eastAsia="宋体" w:cs="宋体"/>
                <w:sz w:val="18"/>
                <w:szCs w:val="18"/>
              </w:rPr>
            </w:pPr>
            <w:r>
              <w:rPr>
                <w:rFonts w:hint="eastAsia" w:ascii="宋体" w:hAnsi="宋体" w:eastAsia="宋体" w:cs="宋体"/>
                <w:sz w:val="18"/>
                <w:szCs w:val="18"/>
              </w:rPr>
              <w:t>（第二章 坚定理想信念；第三章 弘扬中国精神）</w:t>
            </w:r>
          </w:p>
          <w:p>
            <w:pPr>
              <w:jc w:val="both"/>
              <w:rPr>
                <w:rFonts w:hint="eastAsia" w:ascii="宋体" w:hAnsi="宋体" w:eastAsia="宋体" w:cs="宋体"/>
                <w:b/>
                <w:sz w:val="18"/>
                <w:szCs w:val="18"/>
              </w:rPr>
            </w:pPr>
            <w:r>
              <w:rPr>
                <w:rFonts w:hint="eastAsia" w:ascii="宋体" w:hAnsi="宋体" w:eastAsia="宋体" w:cs="宋体"/>
                <w:b/>
                <w:sz w:val="18"/>
                <w:szCs w:val="18"/>
              </w:rPr>
              <w:t>道德教育模块：</w:t>
            </w:r>
          </w:p>
          <w:p>
            <w:pPr>
              <w:jc w:val="both"/>
              <w:rPr>
                <w:rFonts w:hint="eastAsia" w:ascii="宋体" w:hAnsi="宋体" w:eastAsia="宋体" w:cs="宋体"/>
                <w:sz w:val="18"/>
                <w:szCs w:val="18"/>
              </w:rPr>
            </w:pPr>
            <w:r>
              <w:rPr>
                <w:rFonts w:hint="eastAsia" w:ascii="宋体" w:hAnsi="宋体" w:eastAsia="宋体" w:cs="宋体"/>
                <w:sz w:val="18"/>
                <w:szCs w:val="18"/>
              </w:rPr>
              <w:t>（第四章 社会主义核心价值观；第五章 明大德守公德严私德）</w:t>
            </w:r>
          </w:p>
          <w:p>
            <w:pPr>
              <w:jc w:val="both"/>
              <w:rPr>
                <w:rFonts w:hint="eastAsia" w:ascii="宋体" w:hAnsi="宋体" w:eastAsia="宋体" w:cs="宋体"/>
                <w:b/>
                <w:sz w:val="18"/>
                <w:szCs w:val="18"/>
              </w:rPr>
            </w:pPr>
            <w:r>
              <w:rPr>
                <w:rFonts w:hint="eastAsia" w:ascii="宋体" w:hAnsi="宋体" w:eastAsia="宋体" w:cs="宋体"/>
                <w:b/>
                <w:sz w:val="18"/>
                <w:szCs w:val="18"/>
              </w:rPr>
              <w:t>法治教育模块：</w:t>
            </w:r>
          </w:p>
          <w:p>
            <w:pPr>
              <w:jc w:val="both"/>
              <w:rPr>
                <w:rFonts w:hint="eastAsia" w:ascii="宋体" w:hAnsi="宋体" w:eastAsia="宋体" w:cs="宋体"/>
                <w:sz w:val="18"/>
                <w:szCs w:val="18"/>
              </w:rPr>
            </w:pPr>
            <w:r>
              <w:rPr>
                <w:rFonts w:hint="eastAsia" w:ascii="宋体" w:hAnsi="宋体" w:eastAsia="宋体" w:cs="宋体"/>
                <w:sz w:val="18"/>
                <w:szCs w:val="18"/>
              </w:rPr>
              <w:t>（第六章 尊法学法守法用法）</w:t>
            </w:r>
          </w:p>
        </w:tc>
        <w:tc>
          <w:tcPr>
            <w:tcW w:w="1845" w:type="dxa"/>
            <w:vAlign w:val="top"/>
          </w:tcPr>
          <w:p>
            <w:pPr>
              <w:jc w:val="both"/>
              <w:rPr>
                <w:rFonts w:hint="eastAsia" w:ascii="宋体" w:hAnsi="宋体" w:eastAsia="宋体" w:cs="宋体"/>
                <w:b/>
                <w:sz w:val="18"/>
                <w:szCs w:val="18"/>
              </w:rPr>
            </w:pPr>
            <w:r>
              <w:rPr>
                <w:rFonts w:hint="eastAsia" w:ascii="宋体" w:hAnsi="宋体" w:eastAsia="宋体" w:cs="宋体"/>
                <w:sz w:val="18"/>
                <w:szCs w:val="18"/>
              </w:rPr>
              <w:t>严格贯彻落实《教育部关于印发&lt;新时代高校思想政治理论课教学工作基本要求&gt;的通知》（教社科〔2018〕2 号）等文件精神，课程共安排48课时。在教学中不断深化课程教学改革，注重理论与实际的结合，提升课程教学质量。</w:t>
            </w:r>
          </w:p>
          <w:p>
            <w:pPr>
              <w:ind w:firstLine="360" w:firstLineChars="200"/>
              <w:jc w:val="both"/>
              <w:rPr>
                <w:rFonts w:hint="eastAsia" w:ascii="宋体" w:hAnsi="宋体" w:eastAsia="宋体" w:cs="宋体"/>
                <w:sz w:val="18"/>
                <w:szCs w:val="18"/>
              </w:rPr>
            </w:pPr>
            <w:r>
              <w:rPr>
                <w:rFonts w:hint="eastAsia" w:ascii="宋体" w:hAnsi="宋体" w:eastAsia="宋体" w:cs="宋体"/>
                <w:sz w:val="18"/>
                <w:szCs w:val="18"/>
              </w:rPr>
              <w:t>开展专题化教学，采用“引导、探究、展示、拓展”四步小组合作教学模式，注重信息化教学手段的应用，鼓励教师创新发展课程在线教学。</w:t>
            </w:r>
          </w:p>
          <w:p>
            <w:pPr>
              <w:jc w:val="both"/>
              <w:rPr>
                <w:rFonts w:hint="eastAsia" w:ascii="宋体" w:hAnsi="宋体" w:eastAsia="宋体" w:cs="宋体"/>
                <w:sz w:val="18"/>
                <w:szCs w:val="18"/>
              </w:rPr>
            </w:pPr>
            <w:r>
              <w:rPr>
                <w:rFonts w:hint="eastAsia" w:ascii="宋体" w:hAnsi="宋体" w:eastAsia="宋体" w:cs="宋体"/>
                <w:sz w:val="18"/>
                <w:szCs w:val="18"/>
              </w:rPr>
              <w:t>在考核中坚持闭卷统一考试与开放式个性化考核相结合的考核方式，注重对学生学习过程的考核。</w:t>
            </w:r>
          </w:p>
        </w:tc>
        <w:tc>
          <w:tcPr>
            <w:tcW w:w="1860" w:type="dxa"/>
            <w:vAlign w:val="center"/>
          </w:tcPr>
          <w:p>
            <w:pPr>
              <w:jc w:val="left"/>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111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毛泽东思想和中国特色社会主义理论体系概论</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开设这门课程的目的，是为了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本课程为我校开设的一门思想政治理论课主干课程，旨在通过教学使学生认识并掌握：马克思主义中国化的两大理论成果——毛泽东思想和中国特色社会主义理论体系的时代背景、现实基础、科学内涵、精神实质及其在我国社会主义现代化建设中的重要地位和指导意义；党在社会主义初级阶段的基本路线、基本纲领、基本经验和基本要求。通过教学使学生坚定中国特色社会主义理想信念，理解并掌握马克思主义的基本立场、观点和方法，提高分析问题、解决问题的能力。</w:t>
            </w:r>
          </w:p>
        </w:tc>
        <w:tc>
          <w:tcPr>
            <w:tcW w:w="1845" w:type="dxa"/>
            <w:vAlign w:val="top"/>
          </w:tcPr>
          <w:p>
            <w:pPr>
              <w:adjustRightInd w:val="0"/>
              <w:snapToGrid w:val="0"/>
              <w:jc w:val="both"/>
              <w:rPr>
                <w:rFonts w:hint="eastAsia" w:ascii="宋体" w:hAnsi="宋体" w:eastAsia="宋体" w:cs="宋体"/>
                <w:bCs/>
                <w:kern w:val="2"/>
                <w:sz w:val="18"/>
                <w:szCs w:val="18"/>
              </w:rPr>
            </w:pPr>
            <w:r>
              <w:rPr>
                <w:rFonts w:hint="eastAsia" w:ascii="宋体" w:hAnsi="宋体" w:eastAsia="宋体" w:cs="宋体"/>
                <w:bCs/>
                <w:kern w:val="2"/>
                <w:sz w:val="18"/>
                <w:szCs w:val="18"/>
              </w:rPr>
              <w:t>根据课程内容定于一年级第二学期开设，共64课时。其中理论课时50课时，实践课时14课时。在教学中注重理论与实际的结合。</w:t>
            </w:r>
          </w:p>
          <w:p>
            <w:pPr>
              <w:adjustRightInd w:val="0"/>
              <w:snapToGrid w:val="0"/>
              <w:jc w:val="both"/>
              <w:rPr>
                <w:rFonts w:hint="eastAsia" w:ascii="宋体" w:hAnsi="宋体" w:eastAsia="宋体" w:cs="宋体"/>
                <w:bCs/>
                <w:kern w:val="2"/>
                <w:sz w:val="18"/>
                <w:szCs w:val="18"/>
              </w:rPr>
            </w:pPr>
            <w:r>
              <w:rPr>
                <w:rFonts w:hint="eastAsia" w:ascii="宋体" w:hAnsi="宋体" w:eastAsia="宋体" w:cs="宋体"/>
                <w:bCs/>
                <w:kern w:val="2"/>
                <w:sz w:val="18"/>
                <w:szCs w:val="18"/>
              </w:rPr>
              <w:t>1、注重将十九大以来的新思想（习近平新时代中国特色社会主义思想）、新时代（中国特色社会主义进入新时代）、新矛盾（高校思想政治理论课进入新时代后，主要矛盾也发生了变化，变为了学生日益增长的全面发展的需求与不平衡不充分的教育之间的矛盾）进教材、进课堂、进头脑。</w:t>
            </w:r>
          </w:p>
          <w:p>
            <w:pPr>
              <w:jc w:val="both"/>
              <w:rPr>
                <w:rFonts w:hint="eastAsia" w:ascii="宋体" w:hAnsi="宋体" w:eastAsia="宋体" w:cs="宋体"/>
                <w:bCs/>
                <w:sz w:val="18"/>
                <w:szCs w:val="18"/>
              </w:rPr>
            </w:pPr>
            <w:r>
              <w:rPr>
                <w:rFonts w:hint="eastAsia" w:ascii="宋体" w:hAnsi="宋体" w:eastAsia="宋体" w:cs="宋体"/>
                <w:bCs/>
                <w:kern w:val="2"/>
                <w:sz w:val="18"/>
                <w:szCs w:val="18"/>
              </w:rPr>
              <w:t>2、注重学生主体地位的发挥，构建具有高职特色的思政课程教学体系。</w:t>
            </w:r>
          </w:p>
        </w:tc>
        <w:tc>
          <w:tcPr>
            <w:tcW w:w="1860" w:type="dxa"/>
            <w:vAlign w:val="center"/>
          </w:tcPr>
          <w:p>
            <w:pPr>
              <w:jc w:val="left"/>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p>
        </w:tc>
        <w:tc>
          <w:tcPr>
            <w:tcW w:w="111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职业发展与就业指导Ⅰ</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课程以提高学生择业技巧、提升综合职业素养为根本任务，以提高学生就业竞争力为最终目标。</w:t>
            </w: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自我探索，职业探索，生涯决策，职业规划书撰写.</w:t>
            </w:r>
          </w:p>
        </w:tc>
        <w:tc>
          <w:tcPr>
            <w:tcW w:w="1845" w:type="dxa"/>
            <w:vAlign w:val="top"/>
          </w:tcPr>
          <w:p>
            <w:pPr>
              <w:jc w:val="both"/>
              <w:rPr>
                <w:rFonts w:hint="eastAsia" w:ascii="宋体" w:hAnsi="宋体" w:eastAsia="宋体" w:cs="宋体"/>
                <w:bCs/>
                <w:sz w:val="18"/>
                <w:szCs w:val="18"/>
              </w:rPr>
            </w:pPr>
            <w:r>
              <w:rPr>
                <w:rFonts w:hint="eastAsia" w:ascii="宋体" w:hAnsi="宋体" w:eastAsia="宋体" w:cs="宋体"/>
                <w:sz w:val="18"/>
                <w:szCs w:val="18"/>
              </w:rPr>
              <w:t>围绕职业规划书撰写之目标，讲授自我认识、职业探索的方法与步骤。教学重点在“人职匹配”环节，需要引导学生根据探索结果，实事求是，科学分析，理性决策。教学过程应注意将树立大学生职业生涯规划意识贯穿始终。</w:t>
            </w:r>
          </w:p>
        </w:tc>
        <w:tc>
          <w:tcPr>
            <w:tcW w:w="1860" w:type="dxa"/>
            <w:vAlign w:val="top"/>
          </w:tcPr>
          <w:p>
            <w:pPr>
              <w:jc w:val="both"/>
              <w:rPr>
                <w:rFonts w:hint="eastAsia" w:ascii="宋体" w:hAnsi="宋体" w:eastAsia="宋体" w:cs="宋体"/>
                <w:bCs/>
                <w:sz w:val="18"/>
                <w:szCs w:val="18"/>
              </w:rPr>
            </w:pPr>
            <w:r>
              <w:rPr>
                <w:rFonts w:hint="eastAsia" w:ascii="宋体" w:hAnsi="宋体" w:eastAsia="宋体" w:cs="宋体"/>
                <w:bCs/>
                <w:sz w:val="18"/>
                <w:szCs w:val="18"/>
              </w:rPr>
              <w:t>就业指导课程的思政建设，可有效引导学生将个人价值实现融入国家发展大势，通过“知识传授”与“价值引领”的有机结合，达到促进学生全面发展与培养社会主义合格建设者和可靠接班人的目的。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111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职业发展与就业指导Ⅱ</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课程以提高学生择业技巧、提升综合职业素养为根本任务，以提高学生就业竞争力为最终目标。</w:t>
            </w:r>
          </w:p>
        </w:tc>
        <w:tc>
          <w:tcPr>
            <w:tcW w:w="1695" w:type="dxa"/>
            <w:vAlign w:val="top"/>
          </w:tcPr>
          <w:p>
            <w:pPr>
              <w:jc w:val="both"/>
              <w:rPr>
                <w:rFonts w:hint="eastAsia" w:ascii="宋体" w:hAnsi="宋体" w:eastAsia="宋体" w:cs="宋体"/>
                <w:bCs/>
                <w:sz w:val="18"/>
                <w:szCs w:val="18"/>
              </w:rPr>
            </w:pPr>
            <w:r>
              <w:rPr>
                <w:rFonts w:hint="eastAsia" w:ascii="宋体" w:hAnsi="宋体" w:eastAsia="宋体" w:cs="宋体"/>
                <w:sz w:val="18"/>
                <w:szCs w:val="18"/>
              </w:rPr>
              <w:t>就业形势与信息获取，简历制作与面试技巧，身份转变与心理调适</w:t>
            </w:r>
          </w:p>
        </w:tc>
        <w:tc>
          <w:tcPr>
            <w:tcW w:w="1845" w:type="dxa"/>
            <w:vAlign w:val="top"/>
          </w:tcPr>
          <w:p>
            <w:pPr>
              <w:jc w:val="both"/>
              <w:rPr>
                <w:rFonts w:hint="eastAsia" w:ascii="宋体" w:hAnsi="宋体" w:eastAsia="宋体" w:cs="宋体"/>
                <w:bCs/>
                <w:sz w:val="18"/>
                <w:szCs w:val="18"/>
              </w:rPr>
            </w:pPr>
            <w:r>
              <w:rPr>
                <w:rFonts w:hint="eastAsia" w:ascii="宋体" w:hAnsi="宋体" w:eastAsia="宋体" w:cs="宋体"/>
                <w:bCs/>
                <w:sz w:val="18"/>
                <w:szCs w:val="18"/>
              </w:rPr>
              <w:t>教学与实践相结合，从就业形势、就业信息、求职心理、简历制作、面试准备等环节入手，引导学生树立正确的职业观，顺利从学生过渡为职业人。</w:t>
            </w:r>
          </w:p>
        </w:tc>
        <w:tc>
          <w:tcPr>
            <w:tcW w:w="1860" w:type="dxa"/>
            <w:vAlign w:val="top"/>
          </w:tcPr>
          <w:p>
            <w:pPr>
              <w:jc w:val="both"/>
              <w:rPr>
                <w:rFonts w:hint="eastAsia" w:ascii="宋体" w:hAnsi="宋体" w:eastAsia="宋体" w:cs="宋体"/>
                <w:bCs/>
                <w:sz w:val="18"/>
                <w:szCs w:val="18"/>
              </w:rPr>
            </w:pPr>
            <w:r>
              <w:rPr>
                <w:rFonts w:hint="eastAsia" w:ascii="宋体" w:hAnsi="宋体" w:eastAsia="宋体" w:cs="宋体"/>
                <w:bCs/>
                <w:sz w:val="18"/>
                <w:szCs w:val="18"/>
              </w:rPr>
              <w:t>就业指导课程的思政建设，可有效引导学生将个人价值实现融入国家发展大势，通过“知识传授”与“价值引领”的有机结合，达到促进学生全面发展与培养社会主义合格建设者和可靠接班人的目的。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110" w:type="dxa"/>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专业认知与职业前瞻教育</w:t>
            </w:r>
          </w:p>
        </w:tc>
        <w:tc>
          <w:tcPr>
            <w:tcW w:w="2055" w:type="dxa"/>
            <w:vAlign w:val="top"/>
          </w:tcPr>
          <w:p>
            <w:pPr>
              <w:jc w:val="both"/>
              <w:rPr>
                <w:rFonts w:hint="eastAsia" w:ascii="宋体" w:hAnsi="宋体" w:eastAsia="宋体" w:cs="宋体"/>
                <w:color w:val="000000"/>
                <w:sz w:val="18"/>
                <w:szCs w:val="18"/>
              </w:rPr>
            </w:pPr>
            <w:r>
              <w:rPr>
                <w:rFonts w:hint="eastAsia" w:ascii="宋体" w:hAnsi="宋体" w:eastAsia="宋体" w:cs="宋体"/>
                <w:color w:val="000000"/>
                <w:sz w:val="18"/>
                <w:szCs w:val="18"/>
              </w:rPr>
              <w:t>向新生介绍高职院校的特点、人才培养模式与培养方向及现代物流管理专业目前在社会中的地位与发展前景，激发新生对本专业的学习兴趣，提高专业认知度和职业认同感，增强学习动力，明确所应掌握的岗位素养与能力，为实现就业、升学奠定一个良好的基础。</w:t>
            </w:r>
          </w:p>
        </w:tc>
        <w:tc>
          <w:tcPr>
            <w:tcW w:w="1695" w:type="dxa"/>
            <w:vAlign w:val="top"/>
          </w:tcPr>
          <w:p>
            <w:pPr>
              <w:jc w:val="both"/>
              <w:rPr>
                <w:rFonts w:hint="eastAsia" w:ascii="宋体" w:hAnsi="宋体" w:eastAsia="宋体" w:cs="宋体"/>
                <w:color w:val="000000"/>
                <w:sz w:val="18"/>
                <w:szCs w:val="18"/>
              </w:rPr>
            </w:pPr>
            <w:r>
              <w:rPr>
                <w:rFonts w:hint="eastAsia" w:ascii="宋体" w:hAnsi="宋体" w:eastAsia="宋体" w:cs="宋体"/>
                <w:color w:val="000000"/>
                <w:sz w:val="18"/>
                <w:szCs w:val="18"/>
              </w:rPr>
              <w:t>提供给新生有关我国物流行业发展情况的背景资料，重点讲解我国物流业的历史及现状、现代物流管理专业的人才培养方案、培养目标、课程体系、物流功能环节与岗位要求、择业方向、升学途径等内容，使其对物流行业及其今后就业、学习有一定的初步了解。</w:t>
            </w:r>
          </w:p>
        </w:tc>
        <w:tc>
          <w:tcPr>
            <w:tcW w:w="1845" w:type="dxa"/>
            <w:vAlign w:val="top"/>
          </w:tcPr>
          <w:p>
            <w:pPr>
              <w:adjustRightInd w:val="0"/>
              <w:snapToGrid w:val="0"/>
              <w:jc w:val="both"/>
              <w:rPr>
                <w:rFonts w:hint="eastAsia" w:ascii="宋体" w:hAnsi="宋体" w:eastAsia="宋体" w:cs="宋体"/>
                <w:bCs/>
                <w:color w:val="000000"/>
                <w:sz w:val="18"/>
                <w:szCs w:val="18"/>
              </w:rPr>
            </w:pPr>
            <w:r>
              <w:rPr>
                <w:rFonts w:hint="eastAsia" w:ascii="宋体" w:hAnsi="宋体" w:eastAsia="宋体" w:cs="宋体"/>
                <w:bCs/>
                <w:color w:val="000000"/>
                <w:sz w:val="18"/>
                <w:szCs w:val="18"/>
              </w:rPr>
              <w:t>加强学生行业背景知识、职业前景认知能力的培养，学以致用,突出政治性、人本性、实践性、创新性。</w:t>
            </w:r>
          </w:p>
          <w:p>
            <w:pPr>
              <w:jc w:val="both"/>
              <w:rPr>
                <w:rFonts w:hint="eastAsia" w:ascii="宋体" w:hAnsi="宋体" w:eastAsia="宋体" w:cs="宋体"/>
                <w:color w:val="000000"/>
                <w:sz w:val="18"/>
                <w:szCs w:val="18"/>
              </w:rPr>
            </w:pPr>
            <w:r>
              <w:rPr>
                <w:rFonts w:hint="eastAsia" w:ascii="宋体" w:hAnsi="宋体" w:eastAsia="宋体" w:cs="宋体"/>
                <w:bCs/>
                <w:color w:val="000000"/>
                <w:sz w:val="18"/>
                <w:szCs w:val="18"/>
              </w:rPr>
              <w:t>通过本课程的教学，使学生掌握自我探索技能、生涯决策技能、求职技能、创业技能等。</w:t>
            </w:r>
          </w:p>
        </w:tc>
        <w:tc>
          <w:tcPr>
            <w:tcW w:w="1860" w:type="dxa"/>
            <w:vAlign w:val="top"/>
          </w:tcPr>
          <w:p>
            <w:pPr>
              <w:jc w:val="both"/>
              <w:rPr>
                <w:rFonts w:hint="eastAsia" w:ascii="宋体" w:hAnsi="宋体" w:eastAsia="宋体" w:cs="宋体"/>
                <w:bCs/>
                <w:color w:val="000000"/>
                <w:sz w:val="18"/>
                <w:szCs w:val="18"/>
              </w:rPr>
            </w:pPr>
            <w:r>
              <w:rPr>
                <w:rFonts w:hint="eastAsia" w:ascii="宋体" w:hAnsi="宋体" w:eastAsia="宋体" w:cs="宋体"/>
                <w:color w:val="000000"/>
                <w:sz w:val="18"/>
                <w:szCs w:val="18"/>
              </w:rPr>
              <w:t>本课程一方面为学生后续专业课的学习和职业长远发展奠定必要的理论基础知识，另一方面有助于学生了解专业课程安排的衔接递进关系，了解专业在社会发展中的重要作用，提升学生人文素养，提高学生的</w:t>
            </w:r>
            <w:r>
              <w:rPr>
                <w:rFonts w:hint="eastAsia" w:ascii="宋体" w:hAnsi="宋体" w:eastAsia="宋体" w:cs="宋体"/>
                <w:snapToGrid w:val="0"/>
                <w:color w:val="000000"/>
                <w:sz w:val="18"/>
                <w:szCs w:val="18"/>
              </w:rPr>
              <w:t>思想道德修养。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6</w:t>
            </w:r>
          </w:p>
        </w:tc>
        <w:tc>
          <w:tcPr>
            <w:tcW w:w="111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大学语文</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1、人文素养目标：通过引领学生学习古今中外的名篇名著，提升学生的人文素养、人生理想境界和道德修养水平；提高学生阅读理解能力、思维能力、书面及口头表达能力，塑造学生健全人格。</w:t>
            </w:r>
          </w:p>
          <w:p>
            <w:pPr>
              <w:jc w:val="both"/>
              <w:rPr>
                <w:rFonts w:hint="eastAsia" w:ascii="宋体" w:hAnsi="宋体" w:eastAsia="宋体" w:cs="宋体"/>
                <w:sz w:val="18"/>
                <w:szCs w:val="18"/>
              </w:rPr>
            </w:pPr>
            <w:r>
              <w:rPr>
                <w:rFonts w:hint="eastAsia" w:ascii="宋体" w:hAnsi="宋体" w:eastAsia="宋体" w:cs="宋体"/>
                <w:sz w:val="18"/>
                <w:szCs w:val="18"/>
              </w:rPr>
              <w:t>2、职业素质目标：将职教精神、职业道德的实质传递给学生，引导学生养成良好职业道德，引领学生追溯“精益求精的大国工匠精神”，增强高职学生的职业自信；同时使学生能运用所学知识解决工作中的实际问题，提高适应职业需要的综合素质。</w:t>
            </w:r>
          </w:p>
          <w:p>
            <w:pPr>
              <w:jc w:val="both"/>
              <w:rPr>
                <w:rFonts w:hint="eastAsia" w:ascii="宋体" w:hAnsi="宋体" w:eastAsia="宋体" w:cs="宋体"/>
                <w:sz w:val="18"/>
                <w:szCs w:val="18"/>
              </w:rPr>
            </w:pPr>
            <w:r>
              <w:rPr>
                <w:rFonts w:hint="eastAsia" w:ascii="宋体" w:hAnsi="宋体" w:eastAsia="宋体" w:cs="宋体"/>
                <w:sz w:val="18"/>
                <w:szCs w:val="18"/>
              </w:rPr>
              <w:t>3、提升学历目标：通过大学语文课的教学，为学生参加“专转本”考试提供帮助。</w:t>
            </w: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本课程包括经典阅读、应用写作、口才训练三部分内容。</w:t>
            </w:r>
          </w:p>
          <w:p>
            <w:pPr>
              <w:jc w:val="both"/>
              <w:rPr>
                <w:rFonts w:hint="eastAsia" w:ascii="宋体" w:hAnsi="宋体" w:eastAsia="宋体" w:cs="宋体"/>
                <w:sz w:val="18"/>
                <w:szCs w:val="18"/>
              </w:rPr>
            </w:pPr>
            <w:r>
              <w:rPr>
                <w:rFonts w:hint="eastAsia" w:ascii="宋体" w:hAnsi="宋体" w:eastAsia="宋体" w:cs="宋体"/>
                <w:sz w:val="18"/>
                <w:szCs w:val="18"/>
              </w:rPr>
              <w:t>1、经典阅读：选取古今中外文质兼美、历久不衰的文学名篇，指导学生阅读、欣赏、理解、反思。</w:t>
            </w:r>
          </w:p>
          <w:p>
            <w:pPr>
              <w:jc w:val="both"/>
              <w:rPr>
                <w:rFonts w:hint="eastAsia" w:ascii="宋体" w:hAnsi="宋体" w:eastAsia="宋体" w:cs="宋体"/>
                <w:sz w:val="18"/>
                <w:szCs w:val="18"/>
              </w:rPr>
            </w:pPr>
            <w:r>
              <w:rPr>
                <w:rFonts w:hint="eastAsia" w:ascii="宋体" w:hAnsi="宋体" w:eastAsia="宋体" w:cs="宋体"/>
                <w:sz w:val="18"/>
                <w:szCs w:val="18"/>
              </w:rPr>
              <w:t>2、应用写作：指导学生学习常见应用文类型、特点、写作方法。</w:t>
            </w:r>
          </w:p>
          <w:p>
            <w:pPr>
              <w:jc w:val="both"/>
              <w:rPr>
                <w:rFonts w:hint="eastAsia" w:ascii="宋体" w:hAnsi="宋体" w:eastAsia="宋体" w:cs="宋体"/>
                <w:bCs/>
                <w:sz w:val="18"/>
                <w:szCs w:val="18"/>
              </w:rPr>
            </w:pPr>
            <w:r>
              <w:rPr>
                <w:rFonts w:hint="eastAsia" w:ascii="宋体" w:hAnsi="宋体" w:eastAsia="宋体" w:cs="宋体"/>
                <w:sz w:val="18"/>
                <w:szCs w:val="18"/>
              </w:rPr>
              <w:t>3、口才训练：介绍演讲、辩论、以及求职面试等口才训练基本常识和技巧等，指导学生自我练习，提高口头表达能力。</w:t>
            </w:r>
          </w:p>
        </w:tc>
        <w:tc>
          <w:tcPr>
            <w:tcW w:w="184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1、通过解读经典作品，使学生感受优秀文化的魅力，提高学生阅读、欣赏、理解能力。</w:t>
            </w:r>
          </w:p>
          <w:p>
            <w:pPr>
              <w:jc w:val="both"/>
              <w:rPr>
                <w:rFonts w:hint="eastAsia" w:ascii="宋体" w:hAnsi="宋体" w:eastAsia="宋体" w:cs="宋体"/>
                <w:sz w:val="18"/>
                <w:szCs w:val="18"/>
              </w:rPr>
            </w:pPr>
            <w:r>
              <w:rPr>
                <w:rFonts w:hint="eastAsia" w:ascii="宋体" w:hAnsi="宋体" w:eastAsia="宋体" w:cs="宋体"/>
                <w:sz w:val="18"/>
                <w:szCs w:val="18"/>
              </w:rPr>
              <w:t>2、通过应用文写作指导和写作训练，提高学生在实际工作、生活中的书面表达能力。</w:t>
            </w:r>
          </w:p>
          <w:p>
            <w:pPr>
              <w:jc w:val="both"/>
              <w:rPr>
                <w:rFonts w:hint="eastAsia" w:ascii="宋体" w:hAnsi="宋体" w:eastAsia="宋体" w:cs="宋体"/>
                <w:bCs/>
                <w:sz w:val="18"/>
                <w:szCs w:val="18"/>
              </w:rPr>
            </w:pPr>
            <w:r>
              <w:rPr>
                <w:rFonts w:hint="eastAsia" w:ascii="宋体" w:hAnsi="宋体" w:eastAsia="宋体" w:cs="宋体"/>
                <w:sz w:val="18"/>
                <w:szCs w:val="18"/>
              </w:rPr>
              <w:t>3、通过口才技能训练，提高学生的口头表达能力和交际能力，树立自信，更好地应对未来竞争。</w:t>
            </w:r>
          </w:p>
        </w:tc>
        <w:tc>
          <w:tcPr>
            <w:tcW w:w="1860" w:type="dxa"/>
            <w:vAlign w:val="top"/>
          </w:tcPr>
          <w:p>
            <w:pPr>
              <w:jc w:val="both"/>
              <w:rPr>
                <w:rFonts w:hint="eastAsia" w:ascii="宋体" w:hAnsi="宋体" w:eastAsia="宋体" w:cs="宋体"/>
                <w:bCs/>
                <w:sz w:val="18"/>
                <w:szCs w:val="18"/>
              </w:rPr>
            </w:pPr>
            <w:r>
              <w:rPr>
                <w:rFonts w:hint="eastAsia" w:ascii="宋体" w:hAnsi="宋体" w:eastAsia="宋体" w:cs="宋体"/>
                <w:bCs/>
                <w:sz w:val="18"/>
                <w:szCs w:val="18"/>
              </w:rPr>
              <w:t>本课程的教学立足以文养心、以文化人的特点，通过引导学生学习古今中外优秀作品，汲取优秀文化的精髓，来提升人生理想境界和道德修养水平，厚植爱国情怀和文化自信，帮助学生树立正确的世界观、价值观、人生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7</w:t>
            </w:r>
          </w:p>
        </w:tc>
        <w:tc>
          <w:tcPr>
            <w:tcW w:w="111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信息技术</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开设本课程的目的，是为了让学生了解计算机发展的现状和发展趋势，提高学生计算机操作能力，使学生掌握计算机技术基础知识与技能。</w:t>
            </w: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计算机基础知识；操作系统的功能和使用；文字处理软件的功能和使用；电子表格软件的功能和使用；PowerPoint的功能和使用；因特网（Internet）的初步知识和应用。</w:t>
            </w:r>
          </w:p>
        </w:tc>
        <w:tc>
          <w:tcPr>
            <w:tcW w:w="184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以现代办公应用中常用的文字编辑排版、数据分析处理、演示文稿制作为主线，通过案例讲解教学方式，将基本知识和基本功能融合到实际应用中，提高学生应用办公软件处理办公事务和高效处理信息的能力。</w:t>
            </w:r>
          </w:p>
        </w:tc>
        <w:tc>
          <w:tcPr>
            <w:tcW w:w="1860" w:type="dxa"/>
            <w:vAlign w:val="top"/>
          </w:tcPr>
          <w:p>
            <w:pPr>
              <w:jc w:val="both"/>
              <w:rPr>
                <w:rFonts w:hint="eastAsia" w:ascii="宋体" w:hAnsi="宋体" w:eastAsia="宋体" w:cs="宋体"/>
                <w:bCs/>
                <w:sz w:val="18"/>
                <w:szCs w:val="18"/>
              </w:rPr>
            </w:pPr>
            <w:r>
              <w:rPr>
                <w:rFonts w:hint="eastAsia" w:ascii="宋体" w:hAnsi="宋体" w:eastAsia="宋体" w:cs="宋体"/>
                <w:bCs/>
                <w:sz w:val="18"/>
                <w:szCs w:val="18"/>
              </w:rPr>
              <w:t>本课程一方面为学生后续专业课的学习和职业长远发展奠定必要的计算机基础知识，另一方面有助于学生了解计算机在推动人类社会和其他学科发展中的重要作用，提升学生人文素养，提高学生的思想道德修养。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8</w:t>
            </w:r>
          </w:p>
        </w:tc>
        <w:tc>
          <w:tcPr>
            <w:tcW w:w="111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大学生创新创业基础</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掌握创业基本知识，提升大学生创业能力，激发创业热情，培养创新精神。</w:t>
            </w: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企业、创业团队、寻找创业项目、组建与经营企业、撰写商业计划书。</w:t>
            </w:r>
          </w:p>
        </w:tc>
        <w:tc>
          <w:tcPr>
            <w:tcW w:w="1845" w:type="dxa"/>
            <w:vAlign w:val="top"/>
          </w:tcPr>
          <w:p>
            <w:pPr>
              <w:jc w:val="both"/>
              <w:rPr>
                <w:rFonts w:hint="eastAsia" w:ascii="宋体" w:hAnsi="宋体" w:eastAsia="宋体" w:cs="宋体"/>
                <w:sz w:val="18"/>
                <w:szCs w:val="18"/>
              </w:rPr>
            </w:pPr>
            <w:r>
              <w:rPr>
                <w:rFonts w:hint="eastAsia" w:ascii="宋体" w:hAnsi="宋体" w:eastAsia="宋体" w:cs="宋体"/>
                <w:bCs/>
                <w:sz w:val="18"/>
                <w:szCs w:val="18"/>
              </w:rPr>
              <w:t>教学内容与课堂设计贴近学生，理论与实践结合，实用为主，按照“创业十步骤”的顺序逐步展开，令学生完成一次模拟创业。</w:t>
            </w:r>
          </w:p>
        </w:tc>
        <w:tc>
          <w:tcPr>
            <w:tcW w:w="1860" w:type="dxa"/>
            <w:vAlign w:val="top"/>
          </w:tcPr>
          <w:p>
            <w:pPr>
              <w:jc w:val="both"/>
              <w:rPr>
                <w:rFonts w:hint="eastAsia" w:ascii="宋体" w:hAnsi="宋体" w:eastAsia="宋体" w:cs="宋体"/>
                <w:bCs/>
                <w:sz w:val="18"/>
                <w:szCs w:val="18"/>
              </w:rPr>
            </w:pPr>
            <w:r>
              <w:rPr>
                <w:rFonts w:hint="eastAsia" w:ascii="宋体" w:hAnsi="宋体" w:eastAsia="宋体" w:cs="宋体"/>
                <w:bCs/>
                <w:sz w:val="18"/>
                <w:szCs w:val="18"/>
              </w:rPr>
              <w:t>创业教育不仅要培养具有创新精神和创业技能的大学生，更需要正确的价值引领，才能回答好“培养什么人，为谁培养人”的问题。本课程将以思政教育为本，以知识和实践活动为翼，凝练内在的精神价值，在知识传授、技能培养的同时实现课程的价值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9</w:t>
            </w:r>
          </w:p>
        </w:tc>
        <w:tc>
          <w:tcPr>
            <w:tcW w:w="111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劳动教育Ⅰ</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1、面向全校学生，从思想认识、情感态度、能力习惯等方面培养，培养学生正确的劳动观点，树立热爱劳动的意识，形成正确的劳动态度，使学生充分认识到劳动不分贵贱、热爱劳动、增强动手操作能力，培养学生吃苦耐劳、相互协作的精神。</w:t>
            </w:r>
          </w:p>
          <w:p>
            <w:pPr>
              <w:jc w:val="both"/>
              <w:rPr>
                <w:rFonts w:hint="eastAsia" w:ascii="宋体" w:hAnsi="宋体" w:eastAsia="宋体" w:cs="宋体"/>
                <w:sz w:val="18"/>
                <w:szCs w:val="18"/>
              </w:rPr>
            </w:pPr>
            <w:r>
              <w:rPr>
                <w:rFonts w:hint="eastAsia" w:ascii="宋体" w:hAnsi="宋体" w:eastAsia="宋体" w:cs="宋体"/>
                <w:sz w:val="18"/>
                <w:szCs w:val="18"/>
              </w:rPr>
              <w:t>2、通过劳动实践，使学生掌握相关基本技能，学会自我服务性劳动。</w:t>
            </w:r>
          </w:p>
          <w:p>
            <w:pPr>
              <w:jc w:val="both"/>
              <w:rPr>
                <w:rFonts w:hint="eastAsia" w:ascii="宋体" w:hAnsi="宋体" w:eastAsia="宋体" w:cs="宋体"/>
                <w:sz w:val="18"/>
                <w:szCs w:val="18"/>
              </w:rPr>
            </w:pPr>
            <w:r>
              <w:rPr>
                <w:rFonts w:hint="eastAsia" w:ascii="宋体" w:hAnsi="宋体" w:eastAsia="宋体" w:cs="宋体"/>
                <w:sz w:val="18"/>
                <w:szCs w:val="18"/>
              </w:rPr>
              <w:t>3、培养学生爱护环境、珍惜环境的个人品质，有助于学生自主参与校园环境的保护，更好地培养学生的主人翁意识。</w:t>
            </w: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包括但不限于：对班级使用的教室地面、墙面、桌面、讲台等进行全面卫生打扫；对宿舍内务整理整洁并清扫干净，保持舒适的学习和生活环境等。</w:t>
            </w:r>
          </w:p>
        </w:tc>
        <w:tc>
          <w:tcPr>
            <w:tcW w:w="1845" w:type="dxa"/>
            <w:vAlign w:val="top"/>
          </w:tcPr>
          <w:p>
            <w:pPr>
              <w:jc w:val="both"/>
              <w:rPr>
                <w:rFonts w:hint="eastAsia" w:ascii="宋体" w:hAnsi="宋体" w:eastAsia="宋体" w:cs="宋体"/>
                <w:bCs/>
                <w:sz w:val="18"/>
                <w:szCs w:val="18"/>
              </w:rPr>
            </w:pPr>
            <w:r>
              <w:rPr>
                <w:rFonts w:hint="eastAsia" w:ascii="宋体" w:hAnsi="宋体" w:eastAsia="宋体" w:cs="宋体"/>
                <w:bCs/>
                <w:sz w:val="18"/>
                <w:szCs w:val="18"/>
              </w:rPr>
              <w:t>1、基础性。通过劳动教育使学生具备基本的劳动处理能力，以适应未来的职业生活、家庭生活和社会生活。</w:t>
            </w:r>
          </w:p>
          <w:p>
            <w:pPr>
              <w:jc w:val="both"/>
              <w:rPr>
                <w:rFonts w:hint="eastAsia" w:ascii="宋体" w:hAnsi="宋体" w:eastAsia="宋体" w:cs="宋体"/>
                <w:bCs/>
                <w:sz w:val="18"/>
                <w:szCs w:val="18"/>
              </w:rPr>
            </w:pPr>
            <w:r>
              <w:rPr>
                <w:rFonts w:hint="eastAsia" w:ascii="宋体" w:hAnsi="宋体" w:eastAsia="宋体" w:cs="宋体"/>
                <w:bCs/>
                <w:sz w:val="18"/>
                <w:szCs w:val="18"/>
              </w:rPr>
              <w:t>2、实践性。结合学校实际，创设足够的时间和空间，千方百计为学生创设劳动操作的条件，让学生在实践中掌握知识和技能。</w:t>
            </w:r>
          </w:p>
          <w:p>
            <w:pPr>
              <w:jc w:val="both"/>
              <w:rPr>
                <w:rFonts w:hint="eastAsia" w:ascii="宋体" w:hAnsi="宋体" w:eastAsia="宋体" w:cs="宋体"/>
                <w:bCs/>
                <w:sz w:val="18"/>
                <w:szCs w:val="18"/>
              </w:rPr>
            </w:pPr>
            <w:r>
              <w:rPr>
                <w:rFonts w:hint="eastAsia" w:ascii="宋体" w:hAnsi="宋体" w:eastAsia="宋体" w:cs="宋体"/>
                <w:bCs/>
                <w:sz w:val="18"/>
                <w:szCs w:val="18"/>
              </w:rPr>
              <w:t>3、适应性。在实施劳动教育时，根据校情、学情选择合适的内容和形式，注意适应学生年龄、性别、个性差异等生理、心理特征，把握好劳动教育内容的可接受性，注意劳动强度和劳动时间的科学设定。</w:t>
            </w:r>
          </w:p>
          <w:p>
            <w:pPr>
              <w:jc w:val="both"/>
              <w:rPr>
                <w:rFonts w:hint="eastAsia" w:ascii="宋体" w:hAnsi="宋体" w:eastAsia="宋体" w:cs="宋体"/>
                <w:bCs/>
                <w:sz w:val="18"/>
                <w:szCs w:val="18"/>
              </w:rPr>
            </w:pPr>
            <w:r>
              <w:rPr>
                <w:rFonts w:hint="eastAsia" w:ascii="宋体" w:hAnsi="宋体" w:eastAsia="宋体" w:cs="宋体"/>
                <w:bCs/>
                <w:sz w:val="18"/>
                <w:szCs w:val="18"/>
              </w:rPr>
              <w:t>4、安全性。劳动课必须确保学生的安全。课程中穿插安全教育管理，引导学生树立劳动安全意识、自我保护意识。</w:t>
            </w:r>
          </w:p>
        </w:tc>
        <w:tc>
          <w:tcPr>
            <w:tcW w:w="1860" w:type="dxa"/>
            <w:vAlign w:val="top"/>
          </w:tcPr>
          <w:p>
            <w:pPr>
              <w:jc w:val="both"/>
              <w:rPr>
                <w:rFonts w:hint="eastAsia" w:ascii="宋体" w:hAnsi="宋体" w:eastAsia="宋体" w:cs="宋体"/>
                <w:bCs/>
                <w:sz w:val="18"/>
                <w:szCs w:val="18"/>
              </w:rPr>
            </w:pPr>
            <w:r>
              <w:rPr>
                <w:rFonts w:hint="eastAsia" w:ascii="宋体" w:hAnsi="宋体" w:eastAsia="宋体" w:cs="宋体"/>
                <w:bCs/>
                <w:sz w:val="18"/>
                <w:szCs w:val="18"/>
              </w:rPr>
              <w:t>本课程以操作性学习为基本特征，着力帮助学生培养学生劳动情怀，树立正确的劳动价值观、提升劳动技能，通过在教学过程中融入劳动光荣等理念，培养学生吃苦耐劳的精神，增强学生为集体服务的社会责任感，从而提高大学生们的整体素质，让他们真正成为一名德智体美劳全面发展的合格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10</w:t>
            </w:r>
          </w:p>
        </w:tc>
        <w:tc>
          <w:tcPr>
            <w:tcW w:w="111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劳动教育Ⅱ</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1、培养学生的自我管理及劳动实践能力，促进学生形成鲜明的主体意识和积极的生活态度。</w:t>
            </w:r>
          </w:p>
          <w:p>
            <w:pPr>
              <w:jc w:val="both"/>
              <w:rPr>
                <w:rFonts w:hint="eastAsia" w:ascii="宋体" w:hAnsi="宋体" w:eastAsia="宋体" w:cs="宋体"/>
                <w:sz w:val="18"/>
                <w:szCs w:val="18"/>
              </w:rPr>
            </w:pPr>
            <w:r>
              <w:rPr>
                <w:rFonts w:hint="eastAsia" w:ascii="宋体" w:hAnsi="宋体" w:eastAsia="宋体" w:cs="宋体"/>
                <w:sz w:val="18"/>
                <w:szCs w:val="18"/>
              </w:rPr>
              <w:t>2、培养学生的创新精神，促进学生提高主动运用科学文化知识去解决实际问题，同时促进其对技术的理解、探究、反思与创造的能力。</w:t>
            </w:r>
          </w:p>
          <w:p>
            <w:pPr>
              <w:jc w:val="both"/>
              <w:rPr>
                <w:rFonts w:hint="eastAsia" w:ascii="宋体" w:hAnsi="宋体" w:eastAsia="宋体" w:cs="宋体"/>
                <w:sz w:val="18"/>
                <w:szCs w:val="18"/>
              </w:rPr>
            </w:pPr>
            <w:r>
              <w:rPr>
                <w:rFonts w:hint="eastAsia" w:ascii="宋体" w:hAnsi="宋体" w:eastAsia="宋体" w:cs="宋体"/>
                <w:sz w:val="18"/>
                <w:szCs w:val="18"/>
              </w:rPr>
              <w:t>3、培养学生的社会责任感，促进学生形成良好的劳动习惯，树立正确的劳动观和价值观。</w:t>
            </w: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包括但不限于社团工作、社区劳动、志愿服务、科学探索、实验实训场地周期性清扫、公益劳动服务等。</w:t>
            </w:r>
          </w:p>
        </w:tc>
        <w:tc>
          <w:tcPr>
            <w:tcW w:w="184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1、建立长效工作机制和规范管理流程，明确“立德树人”根本任务，以高标准严要求实施开展劳动教育教学活动，全面提高劳动教育质量。</w:t>
            </w:r>
          </w:p>
          <w:p>
            <w:pPr>
              <w:jc w:val="both"/>
              <w:rPr>
                <w:rFonts w:hint="eastAsia" w:ascii="宋体" w:hAnsi="宋体" w:eastAsia="宋体" w:cs="宋体"/>
                <w:sz w:val="18"/>
                <w:szCs w:val="18"/>
              </w:rPr>
            </w:pPr>
            <w:r>
              <w:rPr>
                <w:rFonts w:hint="eastAsia" w:ascii="宋体" w:hAnsi="宋体" w:eastAsia="宋体" w:cs="宋体"/>
                <w:sz w:val="18"/>
                <w:szCs w:val="18"/>
              </w:rPr>
              <w:t>2、组建劳动教育实施工作组，明确小组成员职责，对任务发布、资格审核、学生选领、结果考核、成绩登录等各环节，要形成详尽的计划方案，制订相应的实施计划，逐步落实。</w:t>
            </w:r>
          </w:p>
          <w:p>
            <w:pPr>
              <w:jc w:val="both"/>
              <w:rPr>
                <w:rFonts w:hint="eastAsia" w:ascii="宋体" w:hAnsi="宋体" w:eastAsia="宋体" w:cs="宋体"/>
                <w:sz w:val="18"/>
                <w:szCs w:val="18"/>
              </w:rPr>
            </w:pPr>
            <w:r>
              <w:rPr>
                <w:rFonts w:hint="eastAsia" w:ascii="宋体" w:hAnsi="宋体" w:eastAsia="宋体" w:cs="宋体"/>
                <w:sz w:val="18"/>
                <w:szCs w:val="18"/>
              </w:rPr>
              <w:t>3、劳动开始前要确保学生接受相关理论教育和可选领的任务，劳动过程中要有指导老师和保障措施，劳动结束后要有劳动体验和科学评价。鉴于劳动教育课程的特殊特点和标准化建设要求，为提高评价结果的可靠性与可参比性，建立定性评价与定量评价相结合的评估体系。</w:t>
            </w:r>
          </w:p>
        </w:tc>
        <w:tc>
          <w:tcPr>
            <w:tcW w:w="1860" w:type="dxa"/>
            <w:vAlign w:val="top"/>
          </w:tcPr>
          <w:p>
            <w:pPr>
              <w:jc w:val="both"/>
              <w:rPr>
                <w:rFonts w:hint="eastAsia" w:ascii="宋体" w:hAnsi="宋体" w:eastAsia="宋体" w:cs="宋体"/>
                <w:bCs/>
                <w:sz w:val="18"/>
                <w:szCs w:val="18"/>
              </w:rPr>
            </w:pPr>
            <w:r>
              <w:rPr>
                <w:rFonts w:hint="eastAsia" w:ascii="宋体" w:hAnsi="宋体" w:eastAsia="宋体" w:cs="宋体"/>
                <w:bCs/>
                <w:sz w:val="18"/>
                <w:szCs w:val="18"/>
              </w:rPr>
              <w:t>本课程以操作性学习为基本特征，着力帮助学生建立正确的劳动态度，让学生在“学中做”和“做中学”的劳动体验中，进一步培养良好的劳动意识、创新精神和社会责任感，逐步形成时代发展所需要的技术素养、技术能力，树立正确的世界观、价值观、人生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11</w:t>
            </w:r>
          </w:p>
        </w:tc>
        <w:tc>
          <w:tcPr>
            <w:tcW w:w="111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经济数学</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本课程是高等学校经管、财会各专业的一门必修的重要基础课。通过本课程的学习，能使学生获得丰富的基本知识，必要的基础理论和常用的运算方法，并培养学生具有比较熟练的基本运算能力以及一定的抽象思维、逻辑推理和空间想象能力，从而使学生受到运用数学分析方法解决实际问题的初步训练，同时为学习后继课程奠定必要的数学基础。</w:t>
            </w: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函数、常用经济函数模型；极限和连续；导数和微分；微分中值定理、导数在经济中的应用、洛必达法则；不定积分与定积分。</w:t>
            </w:r>
          </w:p>
        </w:tc>
        <w:tc>
          <w:tcPr>
            <w:tcW w:w="1845" w:type="dxa"/>
            <w:vAlign w:val="top"/>
          </w:tcPr>
          <w:p>
            <w:pPr>
              <w:jc w:val="both"/>
              <w:rPr>
                <w:rFonts w:hint="eastAsia" w:ascii="宋体" w:hAnsi="宋体" w:eastAsia="宋体" w:cs="宋体"/>
                <w:sz w:val="18"/>
                <w:szCs w:val="18"/>
              </w:rPr>
            </w:pPr>
            <w:r>
              <w:rPr>
                <w:rFonts w:hint="eastAsia" w:ascii="宋体" w:hAnsi="宋体" w:eastAsia="宋体" w:cs="宋体"/>
                <w:bCs/>
                <w:sz w:val="18"/>
                <w:szCs w:val="18"/>
              </w:rPr>
              <w:t>根据人才培养目标、学生学习情况、专业需求等，以“必需、够用”的原则选取教学内容，让学生掌握一定的数学技术，培养一定的数学能力，提高学生的数学素养，从而提高学生职业能力及解决专业实际问题的能力。</w:t>
            </w:r>
          </w:p>
        </w:tc>
        <w:tc>
          <w:tcPr>
            <w:tcW w:w="1860" w:type="dxa"/>
            <w:vAlign w:val="top"/>
          </w:tcPr>
          <w:p>
            <w:pPr>
              <w:jc w:val="both"/>
              <w:rPr>
                <w:rFonts w:hint="eastAsia" w:ascii="宋体" w:hAnsi="宋体" w:eastAsia="宋体" w:cs="宋体"/>
                <w:bCs/>
                <w:sz w:val="18"/>
                <w:szCs w:val="18"/>
              </w:rPr>
            </w:pPr>
            <w:r>
              <w:rPr>
                <w:rFonts w:hint="eastAsia" w:ascii="宋体" w:hAnsi="宋体" w:eastAsia="宋体" w:cs="宋体"/>
                <w:bCs/>
                <w:sz w:val="18"/>
                <w:szCs w:val="18"/>
              </w:rPr>
              <w:t>挖掘经济应用数学课程中的思政元素；教师在授课过程中可组织一些有现实意义、应用性较强的实例，通过这些例子去讲解概念、定理、性质、公式，让学生在探求、发现的过程中体会数学的魅力。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12</w:t>
            </w:r>
          </w:p>
        </w:tc>
        <w:tc>
          <w:tcPr>
            <w:tcW w:w="111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大学英语Ⅰ</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通过本课程的学习，学生能掌握B级能力水平的英语基础知识和英语技能；能够运用英语就日常生活活动进行阐述、沟通和交流；能够在涉外事务活动中进行一般性口语和书面语的交流。夯实学生语言基础，提高学生听、说、读、写、译等应用技能和跨文化交际能力，为今后学生的语言学习、职场工作能力奠定良好基础。</w:t>
            </w: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语言知识方面主要包括与大学校园生活和学习生活、人生面临的选择、与人相处、激励他人、成功等话题相关的词汇短语和语言表达方式，并能就以上话题进行讨论和阐述。语法规则方面掌握一般过去时和过去进行时，形容词的比较级和最高级，现在完成时，过去完成时，冠词等。写作方面学生能正确运用标点符号和大写字母、非正式信函的语言特点，撰写非正式信函、常见的应用文。</w:t>
            </w:r>
          </w:p>
        </w:tc>
        <w:tc>
          <w:tcPr>
            <w:tcW w:w="1845" w:type="dxa"/>
            <w:vAlign w:val="top"/>
          </w:tcPr>
          <w:p>
            <w:pPr>
              <w:jc w:val="both"/>
              <w:rPr>
                <w:rFonts w:hint="eastAsia" w:ascii="宋体" w:hAnsi="宋体" w:eastAsia="宋体" w:cs="宋体"/>
                <w:bCs/>
                <w:sz w:val="18"/>
                <w:szCs w:val="18"/>
              </w:rPr>
            </w:pPr>
            <w:r>
              <w:rPr>
                <w:rFonts w:hint="eastAsia" w:ascii="宋体" w:hAnsi="宋体" w:eastAsia="宋体" w:cs="宋体"/>
                <w:bCs/>
                <w:sz w:val="18"/>
                <w:szCs w:val="18"/>
              </w:rPr>
              <w:t>学生需要掌握200个B级基础词汇；能够运用基本词汇和语法知识；能够听懂有关日常和涉外事务活动中语速为每分钟100词左右的语篇；能够阅读有关文化，社会，科普，经贸，人物等一般性的阅读材料和应用型材料；能够将简短的应用型题材和一般性日常生活题材的英语语篇翻译成中文；能够根据信息套写简短的应用文，80词左右。</w:t>
            </w:r>
          </w:p>
        </w:tc>
        <w:tc>
          <w:tcPr>
            <w:tcW w:w="1860" w:type="dxa"/>
            <w:vAlign w:val="top"/>
          </w:tcPr>
          <w:p>
            <w:pPr>
              <w:jc w:val="both"/>
              <w:rPr>
                <w:rFonts w:hint="eastAsia" w:ascii="宋体" w:hAnsi="宋体" w:eastAsia="宋体" w:cs="宋体"/>
                <w:bCs/>
                <w:sz w:val="18"/>
                <w:szCs w:val="18"/>
              </w:rPr>
            </w:pPr>
            <w:r>
              <w:rPr>
                <w:rFonts w:hint="eastAsia" w:ascii="宋体" w:hAnsi="宋体" w:eastAsia="宋体" w:cs="宋体"/>
                <w:sz w:val="18"/>
                <w:szCs w:val="18"/>
              </w:rPr>
              <w:t>立足新时期职业教育人才培养需要，“立德树人”，育人育才，帮助学生树立正确的世界观、人生观、价值观，培养学生职业精神、提高思辨能力，提升文化修养等。教学内容的凝练，由点到面，潜移默化，系统性的融入思政元素。教学路径可以通过中西文化对比，中国传统文化介绍，社会现象讨论等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13</w:t>
            </w:r>
          </w:p>
        </w:tc>
        <w:tc>
          <w:tcPr>
            <w:tcW w:w="111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大学英语Ⅱ</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bCs/>
                <w:sz w:val="18"/>
                <w:szCs w:val="18"/>
              </w:rPr>
              <w:t>通过本课程的学习，学生能够运用英语就日常生活活动进行阐述、沟通和交流，能够在涉外事务活动中进行一般性口语和书面语的交流，并能进一步提高听力、阅读和翻译写作能力，争取通过大学英语四级。《大学英语II》旨在夯实学生语言基础，提高学生听、说、读、写、译等应用技能和跨文化交际能力，为今后学生的语言学习，职场工作能力提高奠定基础。</w:t>
            </w: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语言知识方面主要包括互联网、旅游、运动、餐桌文化、记忆、文学和工作等话题相关的词汇短语和语言表达方式；同时学生能够就以上话题进行阐述。语法规则方面学生需要掌握情态动词、不定代词、不定式和动名词、被动语态、连接词、程度副词的用法等。翻译和写作方面，学生要练习句子和段落翻译以及议论文的写作等。</w:t>
            </w:r>
          </w:p>
        </w:tc>
        <w:tc>
          <w:tcPr>
            <w:tcW w:w="1845" w:type="dxa"/>
            <w:vAlign w:val="top"/>
          </w:tcPr>
          <w:p>
            <w:pPr>
              <w:jc w:val="both"/>
              <w:rPr>
                <w:rFonts w:hint="eastAsia" w:ascii="宋体" w:hAnsi="宋体" w:eastAsia="宋体" w:cs="宋体"/>
                <w:bCs/>
                <w:sz w:val="18"/>
                <w:szCs w:val="18"/>
              </w:rPr>
            </w:pPr>
            <w:r>
              <w:rPr>
                <w:rFonts w:hint="eastAsia" w:ascii="宋体" w:hAnsi="宋体" w:eastAsia="宋体" w:cs="宋体"/>
                <w:bCs/>
                <w:sz w:val="18"/>
                <w:szCs w:val="18"/>
              </w:rPr>
              <w:t>认知4000个英语单词以及由这些词构成的常用词组，对其中2000个左右的单词能正确拼写，英汉互译；结合专业英语学习，认知400个专业英语词汇；掌握基本的英语语法规则，在听、说、读、写、译中能正确运用所学语法知识；能听懂日常和涉外业务活动中使用的结构简单、发音清楚、语速适中（每分钟150词左右）的英语对话和不太复杂的陈述；能用英语进行一般的课堂交际，并能在日常和涉外业务活动中进行简单的交流；能阅读中等难度的一般题材的简短英文资料；能借助词典将中等难度的一般题材的文字材料和对外交往中的一般文字材料译成汉语。</w:t>
            </w:r>
          </w:p>
        </w:tc>
        <w:tc>
          <w:tcPr>
            <w:tcW w:w="1860" w:type="dxa"/>
            <w:vAlign w:val="top"/>
          </w:tcPr>
          <w:p>
            <w:pPr>
              <w:jc w:val="both"/>
              <w:rPr>
                <w:rFonts w:hint="eastAsia" w:ascii="宋体" w:hAnsi="宋体" w:eastAsia="宋体" w:cs="宋体"/>
                <w:sz w:val="18"/>
                <w:szCs w:val="18"/>
              </w:rPr>
            </w:pPr>
            <w:r>
              <w:rPr>
                <w:rFonts w:hint="eastAsia" w:ascii="宋体" w:hAnsi="宋体" w:eastAsia="宋体" w:cs="宋体"/>
                <w:bCs/>
                <w:sz w:val="18"/>
                <w:szCs w:val="18"/>
              </w:rPr>
              <w:t>围绕所学课题培养学生爱岗敬业、精益求精、学习劳模精神、工匠精神，学习体育精神；培养学生爱祖国、爱人民、爱家乡、爱学校的情怀；培养学生环境保护意识、政治意识、大局意识、核心意识、看齐意识；通过讲述中国博大精深文化和传统，培养学生民族精神和时代精神。通过学生们讨论人生中最重要时刻，培养学生树立正确的社会主义核心价值观，让大学生们在学习语言知识和技能的同时，提高自己政治修养，从而获得正确的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14</w:t>
            </w:r>
          </w:p>
        </w:tc>
        <w:tc>
          <w:tcPr>
            <w:tcW w:w="111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大学英语Ⅲ</w:t>
            </w:r>
          </w:p>
        </w:tc>
        <w:tc>
          <w:tcPr>
            <w:tcW w:w="2055" w:type="dxa"/>
            <w:vAlign w:val="top"/>
          </w:tcPr>
          <w:p>
            <w:pPr>
              <w:jc w:val="both"/>
              <w:rPr>
                <w:rFonts w:hint="eastAsia" w:ascii="宋体" w:hAnsi="宋体" w:eastAsia="宋体" w:cs="宋体"/>
                <w:bCs/>
                <w:sz w:val="18"/>
                <w:szCs w:val="18"/>
              </w:rPr>
            </w:pPr>
            <w:r>
              <w:rPr>
                <w:rFonts w:hint="eastAsia" w:ascii="宋体" w:hAnsi="宋体" w:eastAsia="宋体" w:cs="宋体"/>
                <w:sz w:val="18"/>
                <w:szCs w:val="18"/>
              </w:rPr>
              <w:t>课程注重培养学生掌握综合英语口语基础知识，并将知识内化为口语表达能力，从而达到从课堂到实际应用的过渡。通过本课程的学习，学生应掌握正确的语音，语调等语言知识；了解英美国家的一般文化习俗和本国某些文化习俗的英语表达方式，并且可以很好的运用这些表达方式；具有对听过的有关资料作口头问答、复述及清晰表达自己的观点、看法的能力；可以同英语国家人士作一般的日常生活交谈的能力。 通过课堂教学活动，提高学生英语综合运用能力，为学生在今后的工作中能够使用得体的语言，呈现良好的语音面貌打下坚实的基础。</w:t>
            </w: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涵盖不同职业涉外工作中共性的典型英语交际任务，以商务英语为核心内容，以典型工作活动中需要的英语知识和技能为线索组织教学内容，培养学生职业英语应用能力。</w:t>
            </w:r>
          </w:p>
        </w:tc>
        <w:tc>
          <w:tcPr>
            <w:tcW w:w="1845" w:type="dxa"/>
            <w:vAlign w:val="top"/>
          </w:tcPr>
          <w:p>
            <w:pPr>
              <w:jc w:val="both"/>
              <w:rPr>
                <w:rFonts w:hint="eastAsia" w:ascii="宋体" w:hAnsi="宋体" w:eastAsia="宋体" w:cs="宋体"/>
                <w:bCs/>
                <w:sz w:val="18"/>
                <w:szCs w:val="18"/>
              </w:rPr>
            </w:pPr>
            <w:r>
              <w:rPr>
                <w:rFonts w:hint="eastAsia" w:ascii="宋体" w:hAnsi="宋体" w:eastAsia="宋体" w:cs="宋体"/>
                <w:sz w:val="18"/>
                <w:szCs w:val="18"/>
              </w:rPr>
              <w:t>认知4500个英语单词以及由这些词构成的常用词组，对其中2500个左右的单词能正确拼写，英汉互译；结合专业英语学习，认知600个专业英语词汇；能听懂日常和涉外业务活动中使用的结构简单、发音清楚、语速适中（每分钟180词左右）的英语对话和不太复杂的陈述；能用英语进行一般的课堂交际，并能在日常和涉外业务活动中进行简单的交流；能阅读中等难度的一般题材的简短英文资料；能就一般性题材，在30分钟内写出120-150词的命题作文。</w:t>
            </w:r>
          </w:p>
        </w:tc>
        <w:tc>
          <w:tcPr>
            <w:tcW w:w="1860" w:type="dxa"/>
            <w:vAlign w:val="top"/>
          </w:tcPr>
          <w:p>
            <w:pPr>
              <w:jc w:val="both"/>
              <w:rPr>
                <w:rFonts w:hint="eastAsia" w:ascii="宋体" w:hAnsi="宋体" w:eastAsia="宋体" w:cs="宋体"/>
                <w:bCs/>
                <w:sz w:val="18"/>
                <w:szCs w:val="18"/>
              </w:rPr>
            </w:pPr>
            <w:r>
              <w:rPr>
                <w:rFonts w:hint="eastAsia" w:ascii="宋体" w:hAnsi="宋体" w:eastAsia="宋体" w:cs="宋体"/>
                <w:bCs/>
                <w:sz w:val="18"/>
                <w:szCs w:val="18"/>
              </w:rPr>
              <w:t>本课程引导学生查阅专业资料，拓宽学生的语言知识面，有机地结合了语言技能训练和思维品质，文化意识和学习能力等核心素养的培养，培养学生用英语语言洞察社会和人生的分析能力，增强对西方文化差异的思辨能力和表达能力，全面提高学生的跨文化交流能力、思辨与创新能力以及英语综合运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15</w:t>
            </w:r>
          </w:p>
        </w:tc>
        <w:tc>
          <w:tcPr>
            <w:tcW w:w="111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体育Ⅰ、Ⅲ</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1.运动认知与技能领域。</w:t>
            </w:r>
          </w:p>
          <w:p>
            <w:pPr>
              <w:jc w:val="both"/>
              <w:rPr>
                <w:rFonts w:hint="eastAsia" w:ascii="宋体" w:hAnsi="宋体" w:eastAsia="宋体" w:cs="宋体"/>
                <w:sz w:val="18"/>
                <w:szCs w:val="18"/>
              </w:rPr>
            </w:pPr>
            <w:r>
              <w:rPr>
                <w:rFonts w:hint="eastAsia" w:ascii="宋体" w:hAnsi="宋体" w:eastAsia="宋体" w:cs="宋体"/>
                <w:sz w:val="18"/>
                <w:szCs w:val="18"/>
              </w:rPr>
              <w:t>2.运动参与领域。</w:t>
            </w:r>
          </w:p>
          <w:p>
            <w:pPr>
              <w:jc w:val="both"/>
              <w:rPr>
                <w:rFonts w:hint="eastAsia" w:ascii="宋体" w:hAnsi="宋体" w:eastAsia="宋体" w:cs="宋体"/>
                <w:sz w:val="18"/>
                <w:szCs w:val="18"/>
              </w:rPr>
            </w:pPr>
            <w:r>
              <w:rPr>
                <w:rFonts w:hint="eastAsia" w:ascii="宋体" w:hAnsi="宋体" w:eastAsia="宋体" w:cs="宋体"/>
                <w:sz w:val="18"/>
                <w:szCs w:val="18"/>
              </w:rPr>
              <w:t>3.身体健康领域。</w:t>
            </w:r>
          </w:p>
          <w:p>
            <w:pPr>
              <w:jc w:val="both"/>
              <w:rPr>
                <w:rFonts w:hint="eastAsia" w:ascii="宋体" w:hAnsi="宋体" w:eastAsia="宋体" w:cs="宋体"/>
                <w:sz w:val="18"/>
                <w:szCs w:val="18"/>
              </w:rPr>
            </w:pPr>
            <w:r>
              <w:rPr>
                <w:rFonts w:hint="eastAsia" w:ascii="宋体" w:hAnsi="宋体" w:eastAsia="宋体" w:cs="宋体"/>
                <w:sz w:val="18"/>
                <w:szCs w:val="18"/>
              </w:rPr>
              <w:t>4.心理健康与社会适应领域。</w:t>
            </w:r>
          </w:p>
          <w:p>
            <w:pPr>
              <w:jc w:val="both"/>
              <w:rPr>
                <w:rFonts w:hint="eastAsia" w:ascii="宋体" w:hAnsi="宋体" w:eastAsia="宋体" w:cs="宋体"/>
                <w:sz w:val="18"/>
                <w:szCs w:val="18"/>
              </w:rPr>
            </w:pP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1.《国家学生体质健康标准》</w:t>
            </w:r>
          </w:p>
          <w:p>
            <w:pPr>
              <w:numPr>
                <w:ilvl w:val="0"/>
                <w:numId w:val="3"/>
              </w:numPr>
              <w:jc w:val="both"/>
              <w:rPr>
                <w:rFonts w:hint="eastAsia" w:ascii="宋体" w:hAnsi="宋体" w:eastAsia="宋体" w:cs="宋体"/>
                <w:sz w:val="18"/>
                <w:szCs w:val="18"/>
              </w:rPr>
            </w:pPr>
            <w:r>
              <w:rPr>
                <w:rFonts w:hint="eastAsia" w:ascii="宋体" w:hAnsi="宋体" w:eastAsia="宋体" w:cs="宋体"/>
                <w:sz w:val="18"/>
                <w:szCs w:val="18"/>
              </w:rPr>
              <w:t>水平一</w:t>
            </w:r>
          </w:p>
          <w:p>
            <w:pPr>
              <w:jc w:val="both"/>
              <w:rPr>
                <w:rFonts w:hint="eastAsia" w:ascii="宋体" w:hAnsi="宋体" w:eastAsia="宋体" w:cs="宋体"/>
                <w:sz w:val="18"/>
                <w:szCs w:val="18"/>
              </w:rPr>
            </w:pPr>
            <w:r>
              <w:rPr>
                <w:rFonts w:hint="eastAsia" w:ascii="宋体" w:hAnsi="宋体" w:eastAsia="宋体" w:cs="宋体"/>
                <w:sz w:val="18"/>
                <w:szCs w:val="18"/>
              </w:rPr>
              <w:t>足球、篮球、排球、太极拳、拳击、羽毛球、乒乓球、网球、健美操、瑜伽、体育舞蹈、木兰拳、</w:t>
            </w:r>
            <w:r>
              <w:rPr>
                <w:rFonts w:hint="eastAsia" w:ascii="宋体" w:hAnsi="宋体" w:eastAsia="宋体" w:cs="宋体"/>
                <w:b/>
                <w:bCs/>
                <w:sz w:val="18"/>
                <w:szCs w:val="18"/>
              </w:rPr>
              <w:t>动感单车</w:t>
            </w:r>
            <w:r>
              <w:rPr>
                <w:rFonts w:hint="eastAsia" w:ascii="宋体" w:hAnsi="宋体" w:eastAsia="宋体" w:cs="宋体"/>
                <w:sz w:val="18"/>
                <w:szCs w:val="18"/>
              </w:rPr>
              <w:t>。</w:t>
            </w:r>
          </w:p>
          <w:p>
            <w:pPr>
              <w:jc w:val="both"/>
              <w:rPr>
                <w:rFonts w:hint="eastAsia" w:ascii="宋体" w:hAnsi="宋体" w:eastAsia="宋体" w:cs="宋体"/>
                <w:sz w:val="18"/>
                <w:szCs w:val="18"/>
              </w:rPr>
            </w:pPr>
            <w:r>
              <w:rPr>
                <w:rFonts w:hint="eastAsia" w:ascii="宋体" w:hAnsi="宋体" w:eastAsia="宋体" w:cs="宋体"/>
                <w:bCs/>
                <w:sz w:val="18"/>
                <w:szCs w:val="18"/>
              </w:rPr>
              <w:t>3.针对伤、病、残等学生，开设体育保健课。</w:t>
            </w:r>
          </w:p>
        </w:tc>
        <w:tc>
          <w:tcPr>
            <w:tcW w:w="1845" w:type="dxa"/>
            <w:vAlign w:val="top"/>
          </w:tcPr>
          <w:p>
            <w:pPr>
              <w:pStyle w:val="19"/>
              <w:spacing w:before="0" w:beforeAutospacing="0" w:after="0" w:afterAutospacing="0"/>
              <w:jc w:val="both"/>
              <w:rPr>
                <w:rFonts w:hint="eastAsia" w:ascii="宋体" w:hAnsi="宋体" w:eastAsia="宋体" w:cs="宋体"/>
                <w:color w:val="000000"/>
                <w:sz w:val="18"/>
                <w:szCs w:val="18"/>
              </w:rPr>
            </w:pPr>
            <w:r>
              <w:rPr>
                <w:rFonts w:hint="eastAsia" w:ascii="宋体" w:hAnsi="宋体" w:eastAsia="宋体" w:cs="宋体"/>
                <w:color w:val="000000"/>
                <w:sz w:val="18"/>
                <w:szCs w:val="18"/>
              </w:rPr>
              <w:t>1.学习目标明确。既要体现全面育人，又要根据项目和环节特点有所侧重。</w:t>
            </w:r>
          </w:p>
          <w:p>
            <w:pPr>
              <w:pStyle w:val="19"/>
              <w:spacing w:before="0" w:beforeAutospacing="0" w:after="0" w:afterAutospacing="0"/>
              <w:jc w:val="both"/>
              <w:rPr>
                <w:rFonts w:hint="eastAsia" w:ascii="宋体" w:hAnsi="宋体" w:eastAsia="宋体" w:cs="宋体"/>
                <w:color w:val="000000"/>
                <w:sz w:val="18"/>
                <w:szCs w:val="18"/>
              </w:rPr>
            </w:pPr>
            <w:r>
              <w:rPr>
                <w:rFonts w:hint="eastAsia" w:ascii="宋体" w:hAnsi="宋体" w:eastAsia="宋体" w:cs="宋体"/>
                <w:color w:val="000000"/>
                <w:sz w:val="18"/>
                <w:szCs w:val="18"/>
              </w:rPr>
              <w:t>2.教学内容选择依循“目标引领内容”的思路。</w:t>
            </w:r>
          </w:p>
          <w:p>
            <w:pPr>
              <w:pStyle w:val="19"/>
              <w:spacing w:before="0" w:beforeAutospacing="0" w:after="0" w:afterAutospacing="0"/>
              <w:jc w:val="both"/>
              <w:rPr>
                <w:rFonts w:hint="eastAsia" w:ascii="宋体" w:hAnsi="宋体" w:eastAsia="宋体" w:cs="宋体"/>
                <w:color w:val="000000"/>
                <w:sz w:val="18"/>
                <w:szCs w:val="18"/>
              </w:rPr>
            </w:pPr>
            <w:r>
              <w:rPr>
                <w:rFonts w:hint="eastAsia" w:ascii="宋体" w:hAnsi="宋体" w:eastAsia="宋体" w:cs="宋体"/>
                <w:color w:val="000000"/>
                <w:sz w:val="18"/>
                <w:szCs w:val="18"/>
              </w:rPr>
              <w:t>3.教学方法选择和教学手段的应用。教师应根据教学内容特点和教学目标、学生特点等选择合适的教学方法。</w:t>
            </w:r>
          </w:p>
          <w:p>
            <w:pPr>
              <w:pStyle w:val="19"/>
              <w:spacing w:before="0" w:beforeAutospacing="0" w:after="0" w:afterAutospacing="0"/>
              <w:jc w:val="both"/>
              <w:rPr>
                <w:rFonts w:hint="eastAsia" w:ascii="宋体" w:hAnsi="宋体" w:eastAsia="宋体" w:cs="宋体"/>
                <w:color w:val="000000"/>
                <w:sz w:val="18"/>
                <w:szCs w:val="18"/>
              </w:rPr>
            </w:pPr>
            <w:r>
              <w:rPr>
                <w:rFonts w:hint="eastAsia" w:ascii="宋体" w:hAnsi="宋体" w:eastAsia="宋体" w:cs="宋体"/>
                <w:color w:val="000000"/>
                <w:sz w:val="18"/>
                <w:szCs w:val="18"/>
              </w:rPr>
              <w:t>4.教学组织形式的选择，要树立大课程观。</w:t>
            </w:r>
          </w:p>
          <w:p>
            <w:pPr>
              <w:pStyle w:val="19"/>
              <w:spacing w:before="0" w:beforeAutospacing="0" w:after="0" w:afterAutospacing="0"/>
              <w:jc w:val="both"/>
              <w:rPr>
                <w:rFonts w:hint="eastAsia" w:ascii="宋体" w:hAnsi="宋体" w:eastAsia="宋体" w:cs="宋体"/>
                <w:sz w:val="18"/>
                <w:szCs w:val="18"/>
              </w:rPr>
            </w:pPr>
            <w:r>
              <w:rPr>
                <w:rFonts w:hint="eastAsia" w:ascii="宋体" w:hAnsi="宋体" w:eastAsia="宋体" w:cs="宋体"/>
                <w:color w:val="000000"/>
                <w:sz w:val="18"/>
                <w:szCs w:val="18"/>
              </w:rPr>
              <w:t>5.评价考核。包括对学生的体育知识、运动技能、体能、以及情感态度的综合评价。</w:t>
            </w:r>
          </w:p>
        </w:tc>
        <w:tc>
          <w:tcPr>
            <w:tcW w:w="1860" w:type="dxa"/>
            <w:vAlign w:val="top"/>
          </w:tcPr>
          <w:p>
            <w:pPr>
              <w:jc w:val="both"/>
              <w:rPr>
                <w:rFonts w:hint="eastAsia" w:ascii="宋体" w:hAnsi="宋体" w:eastAsia="宋体" w:cs="宋体"/>
                <w:bCs/>
                <w:sz w:val="18"/>
                <w:szCs w:val="18"/>
              </w:rPr>
            </w:pPr>
            <w:r>
              <w:rPr>
                <w:rFonts w:hint="eastAsia" w:ascii="宋体" w:hAnsi="宋体" w:eastAsia="宋体" w:cs="宋体"/>
                <w:color w:val="333333"/>
                <w:sz w:val="18"/>
                <w:szCs w:val="18"/>
                <w:shd w:val="clear" w:color="auto" w:fill="FFFFFF"/>
              </w:rPr>
              <w:t>以德立身、以德立学、以德施教。围绕学校“双一流”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16</w:t>
            </w:r>
          </w:p>
        </w:tc>
        <w:tc>
          <w:tcPr>
            <w:tcW w:w="111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体育Ⅱ、Ⅳ</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1.运动认知与技能领域。</w:t>
            </w:r>
          </w:p>
          <w:p>
            <w:pPr>
              <w:jc w:val="both"/>
              <w:rPr>
                <w:rFonts w:hint="eastAsia" w:ascii="宋体" w:hAnsi="宋体" w:eastAsia="宋体" w:cs="宋体"/>
                <w:sz w:val="18"/>
                <w:szCs w:val="18"/>
              </w:rPr>
            </w:pPr>
            <w:r>
              <w:rPr>
                <w:rFonts w:hint="eastAsia" w:ascii="宋体" w:hAnsi="宋体" w:eastAsia="宋体" w:cs="宋体"/>
                <w:sz w:val="18"/>
                <w:szCs w:val="18"/>
              </w:rPr>
              <w:t>2.运动参与领域。</w:t>
            </w:r>
          </w:p>
          <w:p>
            <w:pPr>
              <w:jc w:val="both"/>
              <w:rPr>
                <w:rFonts w:hint="eastAsia" w:ascii="宋体" w:hAnsi="宋体" w:eastAsia="宋体" w:cs="宋体"/>
                <w:sz w:val="18"/>
                <w:szCs w:val="18"/>
              </w:rPr>
            </w:pPr>
            <w:r>
              <w:rPr>
                <w:rFonts w:hint="eastAsia" w:ascii="宋体" w:hAnsi="宋体" w:eastAsia="宋体" w:cs="宋体"/>
                <w:sz w:val="18"/>
                <w:szCs w:val="18"/>
              </w:rPr>
              <w:t>3.身体健康领域。</w:t>
            </w:r>
          </w:p>
          <w:p>
            <w:pPr>
              <w:jc w:val="both"/>
              <w:rPr>
                <w:rFonts w:hint="eastAsia" w:ascii="宋体" w:hAnsi="宋体" w:eastAsia="宋体" w:cs="宋体"/>
                <w:sz w:val="18"/>
                <w:szCs w:val="18"/>
              </w:rPr>
            </w:pPr>
            <w:r>
              <w:rPr>
                <w:rFonts w:hint="eastAsia" w:ascii="宋体" w:hAnsi="宋体" w:eastAsia="宋体" w:cs="宋体"/>
                <w:sz w:val="18"/>
                <w:szCs w:val="18"/>
              </w:rPr>
              <w:t>4.心理健康与社会适应领域。</w:t>
            </w:r>
          </w:p>
          <w:p>
            <w:pPr>
              <w:jc w:val="both"/>
              <w:rPr>
                <w:rFonts w:hint="eastAsia" w:ascii="宋体" w:hAnsi="宋体" w:eastAsia="宋体" w:cs="宋体"/>
                <w:sz w:val="18"/>
                <w:szCs w:val="18"/>
              </w:rPr>
            </w:pP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1.水平二</w:t>
            </w:r>
          </w:p>
          <w:p>
            <w:pPr>
              <w:jc w:val="both"/>
              <w:rPr>
                <w:rFonts w:hint="eastAsia" w:ascii="宋体" w:hAnsi="宋体" w:eastAsia="宋体" w:cs="宋体"/>
                <w:sz w:val="18"/>
                <w:szCs w:val="18"/>
              </w:rPr>
            </w:pPr>
            <w:r>
              <w:rPr>
                <w:rFonts w:hint="eastAsia" w:ascii="宋体" w:hAnsi="宋体" w:eastAsia="宋体" w:cs="宋体"/>
                <w:sz w:val="18"/>
                <w:szCs w:val="18"/>
              </w:rPr>
              <w:t>足球、篮球、排球、太极拳、拳击、羽毛球、乒乓球、网球、健美操、瑜伽、体育舞蹈、木兰扇、</w:t>
            </w:r>
            <w:r>
              <w:rPr>
                <w:rFonts w:hint="eastAsia" w:ascii="宋体" w:hAnsi="宋体" w:eastAsia="宋体" w:cs="宋体"/>
                <w:b/>
                <w:bCs/>
                <w:sz w:val="18"/>
                <w:szCs w:val="18"/>
              </w:rPr>
              <w:t>动感单车</w:t>
            </w:r>
            <w:r>
              <w:rPr>
                <w:rFonts w:hint="eastAsia" w:ascii="宋体" w:hAnsi="宋体" w:eastAsia="宋体" w:cs="宋体"/>
                <w:sz w:val="18"/>
                <w:szCs w:val="18"/>
              </w:rPr>
              <w:t>。</w:t>
            </w:r>
          </w:p>
          <w:p>
            <w:pPr>
              <w:jc w:val="both"/>
              <w:rPr>
                <w:rFonts w:hint="eastAsia" w:ascii="宋体" w:hAnsi="宋体" w:eastAsia="宋体" w:cs="宋体"/>
                <w:sz w:val="18"/>
                <w:szCs w:val="18"/>
              </w:rPr>
            </w:pPr>
            <w:r>
              <w:rPr>
                <w:rFonts w:hint="eastAsia" w:ascii="宋体" w:hAnsi="宋体" w:eastAsia="宋体" w:cs="宋体"/>
                <w:bCs/>
                <w:sz w:val="18"/>
                <w:szCs w:val="18"/>
              </w:rPr>
              <w:t>2.针对伤、病、残等学生，开设体育保健课。</w:t>
            </w:r>
          </w:p>
        </w:tc>
        <w:tc>
          <w:tcPr>
            <w:tcW w:w="1845" w:type="dxa"/>
            <w:vAlign w:val="top"/>
          </w:tcPr>
          <w:p>
            <w:pPr>
              <w:pStyle w:val="19"/>
              <w:spacing w:before="0" w:beforeAutospacing="0" w:after="0" w:afterAutospacing="0"/>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1.学习目标明确。既要体现全面育人，又要根据项目和环节特点有所侧重。</w:t>
            </w:r>
          </w:p>
          <w:p>
            <w:pPr>
              <w:pStyle w:val="19"/>
              <w:spacing w:before="0" w:beforeAutospacing="0" w:after="0" w:afterAutospacing="0"/>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2.教学内容选择依循“目标引领内容”的思路。</w:t>
            </w:r>
          </w:p>
          <w:p>
            <w:pPr>
              <w:pStyle w:val="19"/>
              <w:spacing w:before="0" w:beforeAutospacing="0" w:after="0" w:afterAutospacing="0"/>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3.教学方法选择和教学手段的应用。教师应根据教学内容特点和教学目标、学生特点等选择合适的教学方法。</w:t>
            </w:r>
          </w:p>
          <w:p>
            <w:pPr>
              <w:pStyle w:val="19"/>
              <w:spacing w:before="0" w:beforeAutospacing="0" w:after="0" w:afterAutospacing="0"/>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4.教学组织形式的选择，要树立大课程观。</w:t>
            </w:r>
          </w:p>
          <w:p>
            <w:pPr>
              <w:pStyle w:val="19"/>
              <w:spacing w:before="0" w:beforeAutospacing="0" w:after="0" w:afterAutospacing="0"/>
              <w:jc w:val="both"/>
              <w:rPr>
                <w:rFonts w:hint="eastAsia" w:ascii="宋体" w:hAnsi="宋体" w:eastAsia="宋体" w:cs="宋体"/>
                <w:sz w:val="18"/>
                <w:szCs w:val="18"/>
              </w:rPr>
            </w:pPr>
            <w:r>
              <w:rPr>
                <w:rFonts w:hint="eastAsia" w:ascii="宋体" w:hAnsi="宋体" w:eastAsia="宋体" w:cs="宋体"/>
                <w:color w:val="000000"/>
                <w:sz w:val="18"/>
                <w:szCs w:val="18"/>
              </w:rPr>
              <w:t>5.评价考核。包括对学生的体育知识、运动技能、体能、以及情感态度的综合评价。</w:t>
            </w:r>
            <w:r>
              <w:rPr>
                <w:rFonts w:hint="eastAsia" w:ascii="宋体" w:hAnsi="宋体" w:eastAsia="宋体" w:cs="宋体"/>
                <w:sz w:val="18"/>
                <w:szCs w:val="18"/>
              </w:rPr>
              <w:t>3、熟悉授课内容，讲授清晰、正确；重点、难点内容处理得当，课程内容衔接紧凑，主次分明；动作示范规范，纠正错误动作及时。</w:t>
            </w:r>
          </w:p>
          <w:p>
            <w:pPr>
              <w:pStyle w:val="19"/>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4、声音宏亮，语言精练、生动、流畅，概念准确；课堂组织合理，有序。</w:t>
            </w:r>
          </w:p>
          <w:p>
            <w:pPr>
              <w:pStyle w:val="19"/>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5、注重启发式、探究式等教学方法，善于启发学生思维，引导学生自主学习和练习，注重学生素质教育和创新能力的培养。</w:t>
            </w:r>
          </w:p>
          <w:p>
            <w:pPr>
              <w:pStyle w:val="19"/>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6、积极改革教学手段，灵活运用多种教学方法，积极营造良好的课堂氛围，做到师生之间、生生之间的良性互动。</w:t>
            </w:r>
          </w:p>
        </w:tc>
        <w:tc>
          <w:tcPr>
            <w:tcW w:w="1860" w:type="dxa"/>
            <w:vAlign w:val="top"/>
          </w:tcPr>
          <w:p>
            <w:pPr>
              <w:jc w:val="both"/>
              <w:rPr>
                <w:rFonts w:hint="eastAsia" w:ascii="宋体" w:hAnsi="宋体" w:eastAsia="宋体" w:cs="宋体"/>
                <w:bCs/>
                <w:sz w:val="18"/>
                <w:szCs w:val="18"/>
              </w:rPr>
            </w:pPr>
            <w:r>
              <w:rPr>
                <w:rFonts w:hint="eastAsia" w:ascii="宋体" w:hAnsi="宋体" w:eastAsia="宋体" w:cs="宋体"/>
                <w:color w:val="333333"/>
                <w:sz w:val="18"/>
                <w:szCs w:val="18"/>
                <w:shd w:val="clear" w:color="auto" w:fill="FFFFFF"/>
              </w:rPr>
              <w:t>以德立身、以德立学、以德施教。围绕学校“双一流”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17</w:t>
            </w:r>
          </w:p>
        </w:tc>
        <w:tc>
          <w:tcPr>
            <w:tcW w:w="1110"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军事</w:t>
            </w:r>
            <w:r>
              <w:rPr>
                <w:rFonts w:hint="eastAsia" w:ascii="宋体" w:hAnsi="宋体" w:eastAsia="宋体" w:cs="宋体"/>
                <w:sz w:val="18"/>
                <w:szCs w:val="18"/>
                <w:lang w:eastAsia="zh-CN"/>
              </w:rPr>
              <w:t>理论</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本课程以国防教育为主线，通过课程教学，使大学生掌握基本的军事理论，达到增强国防观念和国家安全意识，促进大学生综合素质的提高，为中国人民解放军训练后备兵员和培养预备役军官打下坚实的基础的目标。</w:t>
            </w: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中国国防的历史与启示；中国的武装力量与先进的武器装备；总体国家安全观；当前我国地缘安全面临的主要挑战与新型国家安全；古代军事思想。</w:t>
            </w:r>
          </w:p>
        </w:tc>
        <w:tc>
          <w:tcPr>
            <w:tcW w:w="1845" w:type="dxa"/>
            <w:vAlign w:val="top"/>
          </w:tcPr>
          <w:p>
            <w:pPr>
              <w:pStyle w:val="19"/>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1、进行国防知识教育，增强学生的国防观念。</w:t>
            </w:r>
          </w:p>
          <w:p>
            <w:pPr>
              <w:pStyle w:val="19"/>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2、进行军事思想与军事形势教育，提高学生认识分析形势的能力。</w:t>
            </w:r>
          </w:p>
          <w:p>
            <w:pPr>
              <w:pStyle w:val="19"/>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3、进行高技术及高技术战争教育，增强学生科学意识与国家安全意识。</w:t>
            </w:r>
          </w:p>
        </w:tc>
        <w:tc>
          <w:tcPr>
            <w:tcW w:w="1860" w:type="dxa"/>
            <w:vAlign w:val="top"/>
          </w:tcPr>
          <w:p>
            <w:pPr>
              <w:jc w:val="both"/>
              <w:rPr>
                <w:rFonts w:hint="eastAsia" w:ascii="宋体" w:hAnsi="宋体" w:eastAsia="宋体" w:cs="宋体"/>
                <w:bCs/>
                <w:sz w:val="18"/>
                <w:szCs w:val="18"/>
              </w:rPr>
            </w:pPr>
            <w:r>
              <w:rPr>
                <w:rFonts w:hint="eastAsia" w:ascii="宋体" w:hAnsi="宋体" w:eastAsia="宋体" w:cs="宋体"/>
                <w:sz w:val="18"/>
                <w:szCs w:val="18"/>
              </w:rPr>
              <w:t>本课程是我校学生的一门必修课。课程以马克思列宁主义、毛泽东思想、邓小平理论和江泽民同志关于国防与军队建设的重要论述为指导，按照教育要面向现代化、面向世界、面向未来的要求，适应我国人才培养的战略目标和加强国防后备力量建设的需要，为培养高素质的社会主义事业的建设者和保卫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18</w:t>
            </w:r>
          </w:p>
        </w:tc>
        <w:tc>
          <w:tcPr>
            <w:tcW w:w="1110"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军事</w:t>
            </w:r>
            <w:r>
              <w:rPr>
                <w:rFonts w:hint="eastAsia" w:ascii="宋体" w:hAnsi="宋体" w:eastAsia="宋体" w:cs="宋体"/>
                <w:sz w:val="18"/>
                <w:szCs w:val="18"/>
                <w:lang w:eastAsia="zh-CN"/>
              </w:rPr>
              <w:t>技能</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通过本课程的教学，让学生了解掌握军事基础知识和基本军事技能，培养学生良好的组织纪律性和勇敢顽强、吃苦耐劳的坚强毅力，以及团结友爱、互帮互助的集体主义精神，增强国防观念、国家安全意识和忧患危机意识，弘扬爱国主义精神、传承红色基因、提高学生综合国防素质，为实施军民融合发展战略和建设国防后备力量服务。</w:t>
            </w: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共同条令教育；分队的队列动作；现地教学；轻武器射击（模拟）；格斗基础；战场医疗救护；核生化防护；战备规定；紧急集合；行军拉练。</w:t>
            </w:r>
          </w:p>
        </w:tc>
        <w:tc>
          <w:tcPr>
            <w:tcW w:w="1845" w:type="dxa"/>
            <w:vAlign w:val="top"/>
          </w:tcPr>
          <w:p>
            <w:pPr>
              <w:jc w:val="both"/>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1、了解中国人民解放军三大条令的主要内容，掌握队列动作的基本要领，养成良好的军事素养，增强组织纪律观念，培养学生令行禁止、团结奋进、顽强拼搏的过硬作风。</w:t>
            </w:r>
          </w:p>
          <w:p>
            <w:pPr>
              <w:jc w:val="both"/>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2、了解轻武器的战斗性能，掌握射击动作要领，进行体会射击；学会单兵战术基础动作，了解战斗班组攻防的基本动作和战术原则，培养学生良好的战斗素养。</w:t>
            </w:r>
          </w:p>
          <w:p>
            <w:pPr>
              <w:jc w:val="both"/>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3、了解格斗、防护的基本知识，熟悉卫生、救护基本要领，掌握战场自救互救的技能，提高学生安全防护能力。</w:t>
            </w:r>
          </w:p>
          <w:p>
            <w:pPr>
              <w:pStyle w:val="19"/>
              <w:spacing w:before="0" w:beforeAutospacing="0" w:after="0" w:afterAutospacing="0"/>
              <w:jc w:val="both"/>
              <w:rPr>
                <w:rFonts w:hint="eastAsia" w:ascii="宋体" w:hAnsi="宋体" w:eastAsia="宋体" w:cs="宋体"/>
                <w:b/>
                <w:sz w:val="18"/>
                <w:szCs w:val="18"/>
              </w:rPr>
            </w:pPr>
            <w:r>
              <w:rPr>
                <w:rFonts w:hint="eastAsia" w:ascii="宋体" w:hAnsi="宋体" w:eastAsia="宋体" w:cs="宋体"/>
                <w:sz w:val="18"/>
                <w:szCs w:val="18"/>
                <w:shd w:val="clear" w:color="auto" w:fill="FFFFFF"/>
              </w:rPr>
              <w:t>4、了解战备规定、紧急集合、徒步行军、野外生存的基本要求、方法和注意事项，学会识图用图、电磁频谱监测的基本技能，培养学生分析判断和应急处置能力，全面提升综合军事素质。</w:t>
            </w:r>
          </w:p>
        </w:tc>
        <w:tc>
          <w:tcPr>
            <w:tcW w:w="1860" w:type="dxa"/>
            <w:vAlign w:val="top"/>
          </w:tcPr>
          <w:p>
            <w:pPr>
              <w:jc w:val="both"/>
              <w:rPr>
                <w:rFonts w:hint="eastAsia" w:ascii="宋体" w:hAnsi="宋体" w:eastAsia="宋体" w:cs="宋体"/>
                <w:sz w:val="18"/>
                <w:szCs w:val="18"/>
              </w:rPr>
            </w:pPr>
            <w:r>
              <w:rPr>
                <w:rFonts w:hint="eastAsia" w:ascii="宋体" w:hAnsi="宋体" w:eastAsia="宋体" w:cs="宋体"/>
                <w:sz w:val="18"/>
                <w:szCs w:val="18"/>
              </w:rPr>
              <w:t>军训作为大学生入校后的第一堂必修课，其内容包括了以增强国防意识、激发爱国热情、改善知识结构为主要目的军事理论学习，也包括了以培养后备军官、磨练身心素质、规范行为目的的军事技能训练，这其中始终贯穿着以坚定理想信念，增强责任感、使命感，树立正确的世界观、人生观、价值观，升华思想境界为目的的思想政治教育。地方高校军训不仅可以拓宽大学生的知识领域，而且能锻造顽强的毅力与坚定的信念，激发每个大学生对人生价值的重新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19</w:t>
            </w:r>
          </w:p>
        </w:tc>
        <w:tc>
          <w:tcPr>
            <w:tcW w:w="111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形势与政策</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形势与政策是高校思想政治理论课的重要组成部分，是一门时效性、针对性和综合性都很强的思想政治核心课程。</w:t>
            </w:r>
          </w:p>
          <w:p>
            <w:pPr>
              <w:jc w:val="both"/>
              <w:rPr>
                <w:rFonts w:hint="eastAsia" w:ascii="宋体" w:hAnsi="宋体" w:eastAsia="宋体" w:cs="宋体"/>
                <w:sz w:val="18"/>
                <w:szCs w:val="18"/>
              </w:rPr>
            </w:pPr>
            <w:r>
              <w:rPr>
                <w:rFonts w:hint="eastAsia" w:ascii="宋体" w:hAnsi="宋体" w:eastAsia="宋体" w:cs="宋体"/>
                <w:sz w:val="18"/>
                <w:szCs w:val="18"/>
              </w:rPr>
              <w:t>1、能力目标：培养学生应对时政热点的理性思维，自觉抵制各种不良思潮和言论的影响，始终与党中央保持高度一致。</w:t>
            </w:r>
          </w:p>
          <w:p>
            <w:pPr>
              <w:jc w:val="both"/>
              <w:rPr>
                <w:rFonts w:hint="eastAsia" w:ascii="宋体" w:hAnsi="宋体" w:eastAsia="宋体" w:cs="宋体"/>
                <w:sz w:val="18"/>
                <w:szCs w:val="18"/>
              </w:rPr>
            </w:pPr>
            <w:r>
              <w:rPr>
                <w:rFonts w:hint="eastAsia" w:ascii="宋体" w:hAnsi="宋体" w:eastAsia="宋体" w:cs="宋体"/>
                <w:sz w:val="18"/>
                <w:szCs w:val="18"/>
              </w:rPr>
              <w:t>2、知识目标：了解时事热点问题的背景、原因和本质；掌握分析时事热点问题的方法。</w:t>
            </w:r>
          </w:p>
          <w:p>
            <w:pPr>
              <w:jc w:val="both"/>
              <w:rPr>
                <w:rFonts w:hint="eastAsia" w:ascii="宋体" w:hAnsi="宋体" w:eastAsia="宋体" w:cs="宋体"/>
                <w:sz w:val="18"/>
                <w:szCs w:val="18"/>
              </w:rPr>
            </w:pPr>
            <w:r>
              <w:rPr>
                <w:rFonts w:hint="eastAsia" w:ascii="宋体" w:hAnsi="宋体" w:eastAsia="宋体" w:cs="宋体"/>
                <w:sz w:val="18"/>
                <w:szCs w:val="18"/>
              </w:rPr>
              <w:t>3、素质目标：拓展学生的学习视野，丰富学生的精神世界，增强民族自信心和自豪感，提升为中华民族伟大复兴作贡献的责任感和使命感。</w:t>
            </w: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根据教育部制定的本课程年度教学要点及江苏省教育厅关于《形势与政策》课教学有关事项的通知，结合本校实际情况而定，一般包括：</w:t>
            </w:r>
          </w:p>
          <w:p>
            <w:pPr>
              <w:jc w:val="both"/>
              <w:rPr>
                <w:rFonts w:hint="eastAsia" w:ascii="宋体" w:hAnsi="宋体" w:eastAsia="宋体" w:cs="宋体"/>
                <w:sz w:val="18"/>
                <w:szCs w:val="18"/>
              </w:rPr>
            </w:pPr>
            <w:r>
              <w:rPr>
                <w:rFonts w:hint="eastAsia" w:ascii="宋体" w:hAnsi="宋体" w:eastAsia="宋体" w:cs="宋体"/>
                <w:sz w:val="18"/>
                <w:szCs w:val="18"/>
              </w:rPr>
              <w:t>1、新时代国内外形势（省、市和我校发展形势）；</w:t>
            </w:r>
          </w:p>
          <w:p>
            <w:pPr>
              <w:jc w:val="both"/>
              <w:rPr>
                <w:rFonts w:hint="eastAsia" w:ascii="宋体" w:hAnsi="宋体" w:eastAsia="宋体" w:cs="宋体"/>
                <w:sz w:val="18"/>
                <w:szCs w:val="18"/>
              </w:rPr>
            </w:pPr>
            <w:r>
              <w:rPr>
                <w:rFonts w:hint="eastAsia" w:ascii="宋体" w:hAnsi="宋体" w:eastAsia="宋体" w:cs="宋体"/>
                <w:sz w:val="18"/>
                <w:szCs w:val="18"/>
              </w:rPr>
              <w:t>2、十八大以来党和国家事业取得的历史性成就和发生的历史性变革；</w:t>
            </w:r>
          </w:p>
          <w:p>
            <w:pPr>
              <w:jc w:val="both"/>
              <w:rPr>
                <w:rFonts w:hint="eastAsia" w:ascii="宋体" w:hAnsi="宋体" w:eastAsia="宋体" w:cs="宋体"/>
                <w:sz w:val="18"/>
                <w:szCs w:val="18"/>
              </w:rPr>
            </w:pPr>
            <w:r>
              <w:rPr>
                <w:rFonts w:hint="eastAsia" w:ascii="宋体" w:hAnsi="宋体" w:eastAsia="宋体" w:cs="宋体"/>
                <w:sz w:val="18"/>
                <w:szCs w:val="18"/>
              </w:rPr>
              <w:t>3、国际热点问题分析；</w:t>
            </w:r>
          </w:p>
          <w:p>
            <w:pPr>
              <w:jc w:val="both"/>
              <w:rPr>
                <w:rFonts w:hint="eastAsia" w:ascii="宋体" w:hAnsi="宋体" w:eastAsia="宋体" w:cs="宋体"/>
                <w:sz w:val="18"/>
                <w:szCs w:val="18"/>
              </w:rPr>
            </w:pPr>
            <w:r>
              <w:rPr>
                <w:rFonts w:hint="eastAsia" w:ascii="宋体" w:hAnsi="宋体" w:eastAsia="宋体" w:cs="宋体"/>
                <w:sz w:val="18"/>
                <w:szCs w:val="18"/>
              </w:rPr>
              <w:t>4、解决国际问题的中国方案解读。</w:t>
            </w:r>
          </w:p>
        </w:tc>
        <w:tc>
          <w:tcPr>
            <w:tcW w:w="1845" w:type="dxa"/>
            <w:vAlign w:val="top"/>
          </w:tcPr>
          <w:p>
            <w:pPr>
              <w:ind w:firstLine="360" w:firstLineChars="200"/>
              <w:jc w:val="both"/>
              <w:rPr>
                <w:rFonts w:hint="eastAsia" w:ascii="宋体" w:hAnsi="宋体" w:eastAsia="宋体" w:cs="宋体"/>
                <w:bCs/>
                <w:sz w:val="18"/>
                <w:szCs w:val="18"/>
              </w:rPr>
            </w:pPr>
            <w:r>
              <w:rPr>
                <w:rFonts w:hint="eastAsia" w:ascii="宋体" w:hAnsi="宋体" w:eastAsia="宋体" w:cs="宋体"/>
                <w:bCs/>
                <w:sz w:val="18"/>
                <w:szCs w:val="18"/>
              </w:rPr>
              <w:t>严格按照2018年教育部教育部《关于加强新时代高校“形势与政策”课建设的若干意见》文件精神，保证学生在校学习期间开课不断线。每学期开课不低于8学时。</w:t>
            </w:r>
          </w:p>
          <w:p>
            <w:pPr>
              <w:jc w:val="both"/>
              <w:rPr>
                <w:rFonts w:hint="eastAsia" w:ascii="宋体" w:hAnsi="宋体" w:eastAsia="宋体" w:cs="宋体"/>
                <w:bCs/>
                <w:sz w:val="18"/>
                <w:szCs w:val="18"/>
              </w:rPr>
            </w:pPr>
            <w:r>
              <w:rPr>
                <w:rFonts w:hint="eastAsia" w:ascii="宋体" w:hAnsi="宋体" w:eastAsia="宋体" w:cs="宋体"/>
                <w:bCs/>
                <w:sz w:val="18"/>
                <w:szCs w:val="18"/>
              </w:rPr>
              <w:t>采用课堂教学与课外教学相结合的方式，以课堂教学、网络教学、专题讲座、社会实践等多种形式进行。在考核中注重过程考核和个性化考核。</w:t>
            </w:r>
          </w:p>
        </w:tc>
        <w:tc>
          <w:tcPr>
            <w:tcW w:w="1860" w:type="dxa"/>
            <w:vAlign w:val="top"/>
          </w:tcPr>
          <w:p>
            <w:pPr>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20</w:t>
            </w:r>
          </w:p>
        </w:tc>
        <w:tc>
          <w:tcPr>
            <w:tcW w:w="111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人工智能概论</w:t>
            </w:r>
          </w:p>
        </w:tc>
        <w:tc>
          <w:tcPr>
            <w:tcW w:w="2055" w:type="dxa"/>
            <w:vAlign w:val="top"/>
          </w:tcPr>
          <w:p>
            <w:pPr>
              <w:jc w:val="both"/>
              <w:rPr>
                <w:rFonts w:hint="eastAsia" w:ascii="宋体" w:hAnsi="宋体" w:eastAsia="宋体" w:cs="宋体"/>
                <w:sz w:val="18"/>
                <w:szCs w:val="18"/>
              </w:rPr>
            </w:pPr>
            <w:r>
              <w:rPr>
                <w:rFonts w:hint="eastAsia" w:ascii="宋体" w:hAnsi="宋体" w:eastAsia="宋体" w:cs="宋体"/>
                <w:sz w:val="18"/>
                <w:szCs w:val="18"/>
                <w:shd w:val="clear" w:color="auto" w:fill="FFFFFF"/>
              </w:rPr>
              <w:t>人工智能是研究如何利用计算机来模拟人脑所从事的感知、推理、学习、思考、规划等人类智能活动，来解决需要人类智能才能解决的问题，以延伸人们智能的科学。通过本课程的学习，学生在已有的计算机知识基础上，对人工智能从整体上形成初步认识，掌握人工智能知识表达、知识推理、机器学习、机器视觉等应用场景及基本原理，了解人工智能研究与应用的新进展和方向，开阔学生的知识视野，为将来更加深入的学习和运用人工智能相关工具和方法解决专业领域实际问题奠定初步基础。</w:t>
            </w:r>
          </w:p>
        </w:tc>
        <w:tc>
          <w:tcPr>
            <w:tcW w:w="1695" w:type="dxa"/>
            <w:vAlign w:val="top"/>
          </w:tcPr>
          <w:p>
            <w:pPr>
              <w:jc w:val="both"/>
              <w:rPr>
                <w:rFonts w:hint="eastAsia" w:ascii="宋体" w:hAnsi="宋体" w:eastAsia="宋体" w:cs="宋体"/>
                <w:sz w:val="18"/>
                <w:szCs w:val="18"/>
              </w:rPr>
            </w:pPr>
            <w:r>
              <w:rPr>
                <w:rFonts w:hint="eastAsia" w:ascii="宋体" w:hAnsi="宋体" w:eastAsia="宋体" w:cs="宋体"/>
                <w:sz w:val="18"/>
                <w:szCs w:val="18"/>
                <w:shd w:val="clear" w:color="auto" w:fill="FFFFFF"/>
              </w:rPr>
              <w:t>课程选择人工智能领域中一些具有代表性的内容进行重点介绍。首先对人工智能的起源与发展、人工智能领域影响较大的主要流派及其认知进行简要的概述；然后介绍人工智能中几种常用的应用场景及基本原理，如人脸识别、指纹识别、（商用服务或工业）机器人、机器翻译等；最后对当前人工智能最热门的研究和应用领域，如计算智能等技术进行讨论。</w:t>
            </w:r>
          </w:p>
        </w:tc>
        <w:tc>
          <w:tcPr>
            <w:tcW w:w="1845" w:type="dxa"/>
            <w:vAlign w:val="top"/>
          </w:tcPr>
          <w:p>
            <w:pPr>
              <w:jc w:val="both"/>
              <w:rPr>
                <w:rFonts w:hint="eastAsia" w:ascii="宋体" w:hAnsi="宋体" w:eastAsia="宋体" w:cs="宋体"/>
                <w:sz w:val="18"/>
                <w:szCs w:val="18"/>
              </w:rPr>
            </w:pPr>
            <w:r>
              <w:rPr>
                <w:rFonts w:hint="eastAsia" w:ascii="宋体" w:hAnsi="宋体" w:eastAsia="宋体" w:cs="宋体"/>
                <w:sz w:val="18"/>
                <w:szCs w:val="18"/>
              </w:rPr>
              <w:t>人工智能是一门交叉性较强的学科，具有理论性强、涉及面广、知识点多、内容抽象等特点。因此结合人工智能发展趋势和专业应用领域的需要，课程要求有：</w:t>
            </w:r>
          </w:p>
          <w:p>
            <w:pPr>
              <w:jc w:val="both"/>
              <w:rPr>
                <w:rFonts w:hint="eastAsia" w:ascii="宋体" w:hAnsi="宋体" w:eastAsia="宋体" w:cs="宋体"/>
                <w:sz w:val="18"/>
                <w:szCs w:val="18"/>
                <w:shd w:val="clear" w:color="auto" w:fill="FFFFFF"/>
              </w:rPr>
            </w:pPr>
            <w:r>
              <w:rPr>
                <w:rFonts w:hint="eastAsia" w:ascii="宋体" w:hAnsi="宋体" w:eastAsia="宋体" w:cs="宋体"/>
                <w:sz w:val="18"/>
                <w:szCs w:val="18"/>
              </w:rPr>
              <w:t>1、注重人工智能技术与专业应用相结合</w:t>
            </w:r>
          </w:p>
          <w:p>
            <w:pPr>
              <w:ind w:firstLine="180" w:firstLineChars="100"/>
              <w:jc w:val="both"/>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尽量介绍与生活或专业应用相关的趣味性较强的案例，建立起与教材知识点清晰的内在联系，既锻炼学生的逻辑思维能力，亦能促进学习兴趣的提高。</w:t>
            </w:r>
          </w:p>
          <w:p>
            <w:pPr>
              <w:jc w:val="both"/>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2、充分利用现有网上开源的人工智能演示平台，帮助学生理解人工智能基本原理和概念。</w:t>
            </w:r>
          </w:p>
          <w:p>
            <w:pPr>
              <w:jc w:val="both"/>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3、充分运用线上线下混合式教学模式，将学生视为课程教学的主体，开展自主、合作、探究式学习活动。</w:t>
            </w:r>
          </w:p>
        </w:tc>
        <w:tc>
          <w:tcPr>
            <w:tcW w:w="1860" w:type="dxa"/>
            <w:vAlign w:val="top"/>
          </w:tcPr>
          <w:p>
            <w:pPr>
              <w:jc w:val="both"/>
              <w:rPr>
                <w:rFonts w:hint="eastAsia" w:ascii="宋体" w:hAnsi="宋体" w:eastAsia="宋体" w:cs="宋体"/>
                <w:sz w:val="18"/>
                <w:szCs w:val="18"/>
              </w:rPr>
            </w:pPr>
            <w:r>
              <w:rPr>
                <w:rFonts w:hint="eastAsia" w:ascii="宋体" w:hAnsi="宋体" w:eastAsia="宋体" w:cs="宋体"/>
                <w:sz w:val="18"/>
                <w:szCs w:val="18"/>
                <w:shd w:val="clear" w:color="auto" w:fill="FFFFFF"/>
              </w:rPr>
              <w:t>使学生能够正确看待计算机技术的发展，促使学生能够权衡人工智能的利弊，合理平衡AI与人类工作矛盾，了解人工智能对人类的威胁，掌握防范这些威胁的方法。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21</w:t>
            </w:r>
          </w:p>
        </w:tc>
        <w:tc>
          <w:tcPr>
            <w:tcW w:w="1110" w:type="dxa"/>
            <w:vAlign w:val="center"/>
          </w:tcPr>
          <w:p>
            <w:pPr>
              <w:rPr>
                <w:rFonts w:hint="eastAsia" w:ascii="宋体" w:hAnsi="宋体" w:eastAsia="宋体" w:cs="宋体"/>
                <w:sz w:val="18"/>
                <w:szCs w:val="18"/>
              </w:rPr>
            </w:pPr>
            <w:r>
              <w:rPr>
                <w:rFonts w:hint="eastAsia" w:ascii="宋体" w:hAnsi="宋体" w:eastAsia="宋体" w:cs="宋体"/>
                <w:sz w:val="18"/>
                <w:szCs w:val="18"/>
              </w:rPr>
              <w:t>心理健康教育</w:t>
            </w:r>
          </w:p>
          <w:p>
            <w:pPr>
              <w:rPr>
                <w:rFonts w:hint="eastAsia" w:ascii="宋体" w:hAnsi="宋体" w:eastAsia="宋体" w:cs="宋体"/>
                <w:sz w:val="18"/>
                <w:szCs w:val="18"/>
              </w:rPr>
            </w:pPr>
          </w:p>
        </w:tc>
        <w:tc>
          <w:tcPr>
            <w:tcW w:w="2055" w:type="dxa"/>
            <w:vAlign w:val="top"/>
          </w:tcPr>
          <w:p>
            <w:pPr>
              <w:spacing w:line="360" w:lineRule="exact"/>
              <w:ind w:right="-2"/>
              <w:jc w:val="both"/>
              <w:rPr>
                <w:rFonts w:hint="eastAsia" w:ascii="宋体" w:hAnsi="宋体" w:eastAsia="宋体" w:cs="宋体"/>
                <w:sz w:val="18"/>
                <w:szCs w:val="18"/>
              </w:rPr>
            </w:pPr>
            <w:r>
              <w:rPr>
                <w:rFonts w:hint="eastAsia" w:ascii="宋体" w:hAnsi="宋体" w:eastAsia="宋体" w:cs="宋体"/>
                <w:color w:val="000000"/>
                <w:sz w:val="18"/>
                <w:szCs w:val="18"/>
              </w:rPr>
              <w:t>心理健康教育课程面向大一学生开设。</w:t>
            </w:r>
            <w:r>
              <w:rPr>
                <w:rFonts w:hint="eastAsia" w:ascii="宋体" w:hAnsi="宋体" w:eastAsia="宋体" w:cs="宋体"/>
                <w:sz w:val="18"/>
                <w:szCs w:val="18"/>
              </w:rPr>
              <w:t>通过教学，使学生在知识、技能和自我认知三个层面实现以下目标：知识层面，使学生了解心理学的有关基本理论，明确心理健康的标准和意义，了解常见的心理问题表现，掌握自我调适的基本知识；技能层面，使学生掌握自我探索技能，心理调适技能及心理发展技能。如环境适应、自我管理、人际交往、情绪调控、压力管理等技能；自我认知层面，使学生树立心理健康发展的自主意识，了解自身的心理特点，能够对自己的身体条件、心理状况、行为能力等进行客观评价，正确认识自己、接纳自己，在遇到心理问题时能够进行自我调适或寻求帮助，积极探索适合自己并适应社会的生活状态。</w:t>
            </w:r>
          </w:p>
        </w:tc>
        <w:tc>
          <w:tcPr>
            <w:tcW w:w="1695" w:type="dxa"/>
            <w:vAlign w:val="top"/>
          </w:tcPr>
          <w:p>
            <w:pPr>
              <w:jc w:val="both"/>
              <w:rPr>
                <w:rFonts w:hint="eastAsia" w:ascii="宋体" w:hAnsi="宋体" w:eastAsia="宋体" w:cs="宋体"/>
                <w:sz w:val="18"/>
                <w:szCs w:val="18"/>
              </w:rPr>
            </w:pPr>
            <w:r>
              <w:rPr>
                <w:rFonts w:hint="eastAsia" w:ascii="宋体" w:hAnsi="宋体" w:eastAsia="宋体" w:cs="宋体"/>
                <w:b/>
                <w:bCs/>
                <w:sz w:val="18"/>
                <w:szCs w:val="18"/>
              </w:rPr>
              <w:t>教学内容</w:t>
            </w:r>
            <w:r>
              <w:rPr>
                <w:rFonts w:hint="eastAsia" w:ascii="宋体" w:hAnsi="宋体" w:eastAsia="宋体" w:cs="宋体"/>
                <w:sz w:val="18"/>
                <w:szCs w:val="18"/>
              </w:rPr>
              <w:t>：</w:t>
            </w:r>
          </w:p>
          <w:p>
            <w:pPr>
              <w:jc w:val="both"/>
              <w:rPr>
                <w:rFonts w:hint="eastAsia" w:ascii="宋体" w:hAnsi="宋体" w:eastAsia="宋体" w:cs="宋体"/>
                <w:sz w:val="18"/>
                <w:szCs w:val="18"/>
              </w:rPr>
            </w:pPr>
            <w:r>
              <w:rPr>
                <w:rFonts w:hint="eastAsia" w:ascii="宋体" w:hAnsi="宋体" w:eastAsia="宋体" w:cs="宋体"/>
                <w:sz w:val="18"/>
                <w:szCs w:val="18"/>
              </w:rPr>
              <w:t>健康与心理健康；</w:t>
            </w:r>
          </w:p>
          <w:p>
            <w:pPr>
              <w:jc w:val="both"/>
              <w:rPr>
                <w:rFonts w:hint="eastAsia" w:ascii="宋体" w:hAnsi="宋体" w:eastAsia="宋体" w:cs="宋体"/>
                <w:sz w:val="18"/>
                <w:szCs w:val="18"/>
              </w:rPr>
            </w:pPr>
            <w:r>
              <w:rPr>
                <w:rFonts w:hint="eastAsia" w:ascii="宋体" w:hAnsi="宋体" w:eastAsia="宋体" w:cs="宋体"/>
                <w:sz w:val="18"/>
                <w:szCs w:val="18"/>
              </w:rPr>
              <w:t>规划大学生活；</w:t>
            </w:r>
          </w:p>
          <w:p>
            <w:pPr>
              <w:jc w:val="both"/>
              <w:rPr>
                <w:rFonts w:hint="eastAsia" w:ascii="宋体" w:hAnsi="宋体" w:eastAsia="宋体" w:cs="宋体"/>
                <w:sz w:val="18"/>
                <w:szCs w:val="18"/>
              </w:rPr>
            </w:pPr>
            <w:r>
              <w:rPr>
                <w:rFonts w:hint="eastAsia" w:ascii="宋体" w:hAnsi="宋体" w:eastAsia="宋体" w:cs="宋体"/>
                <w:sz w:val="18"/>
                <w:szCs w:val="18"/>
              </w:rPr>
              <w:t>大学生自我意识；</w:t>
            </w:r>
          </w:p>
          <w:p>
            <w:pPr>
              <w:jc w:val="both"/>
              <w:rPr>
                <w:rFonts w:hint="eastAsia" w:ascii="宋体" w:hAnsi="宋体" w:eastAsia="宋体" w:cs="宋体"/>
                <w:sz w:val="18"/>
                <w:szCs w:val="18"/>
              </w:rPr>
            </w:pPr>
            <w:r>
              <w:rPr>
                <w:rFonts w:hint="eastAsia" w:ascii="宋体" w:hAnsi="宋体" w:eastAsia="宋体" w:cs="宋体"/>
                <w:sz w:val="18"/>
                <w:szCs w:val="18"/>
              </w:rPr>
              <w:t>健全人格塑造；</w:t>
            </w:r>
          </w:p>
          <w:p>
            <w:pPr>
              <w:jc w:val="both"/>
              <w:rPr>
                <w:rFonts w:hint="eastAsia" w:ascii="宋体" w:hAnsi="宋体" w:eastAsia="宋体" w:cs="宋体"/>
                <w:sz w:val="18"/>
                <w:szCs w:val="18"/>
              </w:rPr>
            </w:pPr>
            <w:r>
              <w:rPr>
                <w:rFonts w:hint="eastAsia" w:ascii="宋体" w:hAnsi="宋体" w:eastAsia="宋体" w:cs="宋体"/>
                <w:sz w:val="18"/>
                <w:szCs w:val="18"/>
              </w:rPr>
              <w:t>情绪管理；</w:t>
            </w:r>
          </w:p>
          <w:p>
            <w:pPr>
              <w:jc w:val="both"/>
              <w:rPr>
                <w:rFonts w:hint="eastAsia" w:ascii="宋体" w:hAnsi="宋体" w:eastAsia="宋体" w:cs="宋体"/>
                <w:sz w:val="18"/>
                <w:szCs w:val="18"/>
              </w:rPr>
            </w:pPr>
            <w:r>
              <w:rPr>
                <w:rFonts w:hint="eastAsia" w:ascii="宋体" w:hAnsi="宋体" w:eastAsia="宋体" w:cs="宋体"/>
                <w:sz w:val="18"/>
                <w:szCs w:val="18"/>
              </w:rPr>
              <w:t>大学生人际交往；</w:t>
            </w:r>
          </w:p>
          <w:p>
            <w:pPr>
              <w:jc w:val="both"/>
              <w:rPr>
                <w:rFonts w:hint="eastAsia" w:ascii="宋体" w:hAnsi="宋体" w:eastAsia="宋体" w:cs="宋体"/>
                <w:sz w:val="18"/>
                <w:szCs w:val="18"/>
              </w:rPr>
            </w:pPr>
            <w:r>
              <w:rPr>
                <w:rFonts w:hint="eastAsia" w:ascii="宋体" w:hAnsi="宋体" w:eastAsia="宋体" w:cs="宋体"/>
                <w:sz w:val="18"/>
                <w:szCs w:val="18"/>
              </w:rPr>
              <w:t>挫折及应对；</w:t>
            </w:r>
          </w:p>
          <w:p>
            <w:pPr>
              <w:jc w:val="both"/>
              <w:rPr>
                <w:rFonts w:hint="eastAsia" w:ascii="宋体" w:hAnsi="宋体" w:eastAsia="宋体" w:cs="宋体"/>
                <w:sz w:val="18"/>
                <w:szCs w:val="18"/>
              </w:rPr>
            </w:pPr>
            <w:r>
              <w:rPr>
                <w:rFonts w:hint="eastAsia" w:ascii="宋体" w:hAnsi="宋体" w:eastAsia="宋体" w:cs="宋体"/>
                <w:sz w:val="18"/>
                <w:szCs w:val="18"/>
              </w:rPr>
              <w:t>恋爱与性心理；</w:t>
            </w:r>
          </w:p>
        </w:tc>
        <w:tc>
          <w:tcPr>
            <w:tcW w:w="1845" w:type="dxa"/>
            <w:vAlign w:val="top"/>
          </w:tcPr>
          <w:p>
            <w:pPr>
              <w:jc w:val="both"/>
              <w:rPr>
                <w:rFonts w:hint="eastAsia" w:ascii="宋体" w:hAnsi="宋体" w:eastAsia="宋体" w:cs="宋体"/>
                <w:bCs/>
                <w:sz w:val="18"/>
                <w:szCs w:val="18"/>
              </w:rPr>
            </w:pPr>
            <w:r>
              <w:rPr>
                <w:rFonts w:hint="eastAsia" w:ascii="宋体" w:hAnsi="宋体" w:eastAsia="宋体" w:cs="宋体"/>
                <w:color w:val="000000"/>
                <w:sz w:val="18"/>
                <w:szCs w:val="18"/>
              </w:rPr>
              <w:t>课程依据大学生生理、心理发展特点，通过理论讲授、心理体验感悟、认知行为训练等教学、实践环节实施，由课堂讲授和课后实践训练两部分组成。</w:t>
            </w:r>
          </w:p>
          <w:p>
            <w:pPr>
              <w:jc w:val="both"/>
              <w:rPr>
                <w:rFonts w:hint="eastAsia" w:ascii="宋体" w:hAnsi="宋体" w:eastAsia="宋体" w:cs="宋体"/>
                <w:bCs/>
                <w:sz w:val="18"/>
                <w:szCs w:val="18"/>
              </w:rPr>
            </w:pPr>
            <w:r>
              <w:rPr>
                <w:rFonts w:hint="eastAsia" w:ascii="宋体" w:hAnsi="宋体" w:eastAsia="宋体" w:cs="宋体"/>
                <w:b/>
                <w:sz w:val="18"/>
                <w:szCs w:val="18"/>
              </w:rPr>
              <w:t>教师教学方法</w:t>
            </w:r>
            <w:r>
              <w:rPr>
                <w:rFonts w:hint="eastAsia" w:ascii="宋体" w:hAnsi="宋体" w:eastAsia="宋体" w:cs="宋体"/>
                <w:bCs/>
                <w:sz w:val="18"/>
                <w:szCs w:val="18"/>
              </w:rPr>
              <w:t>：</w:t>
            </w:r>
          </w:p>
          <w:p>
            <w:pPr>
              <w:jc w:val="both"/>
              <w:rPr>
                <w:rFonts w:hint="eastAsia" w:ascii="宋体" w:hAnsi="宋体" w:eastAsia="宋体" w:cs="宋体"/>
                <w:bCs/>
                <w:sz w:val="18"/>
                <w:szCs w:val="18"/>
              </w:rPr>
            </w:pPr>
            <w:r>
              <w:rPr>
                <w:rFonts w:hint="eastAsia" w:ascii="宋体" w:hAnsi="宋体" w:eastAsia="宋体" w:cs="宋体"/>
                <w:sz w:val="18"/>
                <w:szCs w:val="18"/>
              </w:rPr>
              <w:t>施教时体现“教师主导”“学生主体”的教学理念，充分调动学生参与的积极性，开展课堂互动活动，避免单向的理论灌输和知识传授，充分发挥本课程教学在培养与提高学生心理素质的功能。</w:t>
            </w:r>
          </w:p>
          <w:p>
            <w:pPr>
              <w:jc w:val="both"/>
              <w:rPr>
                <w:rFonts w:hint="eastAsia" w:ascii="宋体" w:hAnsi="宋体" w:eastAsia="宋体" w:cs="宋体"/>
                <w:bCs/>
                <w:sz w:val="18"/>
                <w:szCs w:val="18"/>
              </w:rPr>
            </w:pPr>
            <w:r>
              <w:rPr>
                <w:rFonts w:hint="eastAsia" w:ascii="宋体" w:hAnsi="宋体" w:eastAsia="宋体" w:cs="宋体"/>
                <w:b/>
                <w:sz w:val="18"/>
                <w:szCs w:val="18"/>
              </w:rPr>
              <w:t>学生学习方法</w:t>
            </w:r>
            <w:r>
              <w:rPr>
                <w:rFonts w:hint="eastAsia" w:ascii="宋体" w:hAnsi="宋体" w:eastAsia="宋体" w:cs="宋体"/>
                <w:bCs/>
                <w:sz w:val="18"/>
                <w:szCs w:val="18"/>
              </w:rPr>
              <w:t>：</w:t>
            </w:r>
          </w:p>
          <w:p>
            <w:pPr>
              <w:jc w:val="both"/>
              <w:rPr>
                <w:rFonts w:hint="eastAsia" w:ascii="宋体" w:hAnsi="宋体" w:eastAsia="宋体" w:cs="宋体"/>
                <w:bCs/>
                <w:sz w:val="18"/>
                <w:szCs w:val="18"/>
              </w:rPr>
            </w:pPr>
            <w:r>
              <w:rPr>
                <w:rFonts w:hint="eastAsia" w:ascii="宋体" w:hAnsi="宋体" w:eastAsia="宋体" w:cs="宋体"/>
                <w:bCs/>
                <w:sz w:val="18"/>
                <w:szCs w:val="18"/>
              </w:rPr>
              <w:t>明确学习目标与要求，利用教学资源课前自学；课堂中认真听课，积极参与，真诚分享；认真参加课后实践活动，在团体互动中获得积极心理体验，并外化为行为的正向改变。</w:t>
            </w:r>
          </w:p>
        </w:tc>
        <w:tc>
          <w:tcPr>
            <w:tcW w:w="1860" w:type="dxa"/>
            <w:vAlign w:val="top"/>
          </w:tcPr>
          <w:p>
            <w:pPr>
              <w:jc w:val="both"/>
              <w:rPr>
                <w:rFonts w:hint="eastAsia" w:ascii="宋体" w:hAnsi="宋体" w:eastAsia="宋体" w:cs="宋体"/>
                <w:bCs/>
                <w:color w:val="000000"/>
                <w:sz w:val="18"/>
                <w:szCs w:val="18"/>
              </w:rPr>
            </w:pPr>
            <w:r>
              <w:rPr>
                <w:rFonts w:hint="eastAsia" w:ascii="宋体" w:hAnsi="宋体" w:eastAsia="宋体" w:cs="宋体"/>
                <w:bCs/>
                <w:color w:val="000000"/>
                <w:sz w:val="18"/>
                <w:szCs w:val="18"/>
              </w:rPr>
              <w:t xml:space="preserve"> 就</w:t>
            </w:r>
            <w:r>
              <w:rPr>
                <w:rFonts w:hint="eastAsia" w:ascii="宋体" w:hAnsi="宋体" w:eastAsia="宋体" w:cs="宋体"/>
                <w:b/>
                <w:color w:val="000000"/>
                <w:sz w:val="18"/>
                <w:szCs w:val="18"/>
              </w:rPr>
              <w:t>教学内容</w:t>
            </w:r>
            <w:r>
              <w:rPr>
                <w:rFonts w:hint="eastAsia" w:ascii="宋体" w:hAnsi="宋体" w:eastAsia="宋体" w:cs="宋体"/>
                <w:bCs/>
                <w:color w:val="000000"/>
                <w:sz w:val="18"/>
                <w:szCs w:val="18"/>
              </w:rPr>
              <w:t>而言，挖掘心理健康课程中的思政元素，如规划大学生活部分引导学生树立人生理想，融入时代潮流；在介绍自我意识起源问题时通过东西方对比，让学生认识到我们祖先的智慧和成就，增强民族自信；在人格部分通过价值观澄清活动，设置情境，引导学生通过学习和反思来塑造和调适价值观体系；在挫折部分通过团体活动引发学生对自我、环境、他人与社会关系的思考和对生命的敬畏，培养积极奋发向上的社会责任感。就</w:t>
            </w:r>
            <w:r>
              <w:rPr>
                <w:rFonts w:hint="eastAsia" w:ascii="宋体" w:hAnsi="宋体" w:eastAsia="宋体" w:cs="宋体"/>
                <w:b/>
                <w:color w:val="000000"/>
                <w:sz w:val="18"/>
                <w:szCs w:val="18"/>
              </w:rPr>
              <w:t>教学实施</w:t>
            </w:r>
            <w:r>
              <w:rPr>
                <w:rFonts w:hint="eastAsia" w:ascii="宋体" w:hAnsi="宋体" w:eastAsia="宋体" w:cs="宋体"/>
                <w:bCs/>
                <w:color w:val="000000"/>
                <w:sz w:val="18"/>
                <w:szCs w:val="18"/>
              </w:rPr>
              <w:t>而言，在教学过程中的互动环节，尤其是课后实践训练部分，可以培养学生的团队意识、相互信任和协作沟通以及集体主义精神。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22</w:t>
            </w:r>
          </w:p>
        </w:tc>
        <w:tc>
          <w:tcPr>
            <w:tcW w:w="1110" w:type="dxa"/>
            <w:vAlign w:val="center"/>
          </w:tcPr>
          <w:p>
            <w:pPr>
              <w:rPr>
                <w:rFonts w:hint="eastAsia" w:ascii="宋体" w:hAnsi="宋体" w:eastAsia="宋体" w:cs="宋体"/>
                <w:sz w:val="18"/>
                <w:szCs w:val="18"/>
              </w:rPr>
            </w:pPr>
            <w:r>
              <w:rPr>
                <w:rFonts w:hint="eastAsia" w:ascii="宋体" w:hAnsi="宋体" w:cs="宋体"/>
                <w:sz w:val="18"/>
                <w:szCs w:val="18"/>
                <w:lang w:val="en-US" w:eastAsia="zh-CN"/>
              </w:rPr>
              <w:t>国家安全教育</w:t>
            </w:r>
          </w:p>
          <w:p>
            <w:pPr>
              <w:rPr>
                <w:rFonts w:hint="eastAsia" w:ascii="宋体" w:hAnsi="宋体" w:eastAsia="宋体" w:cs="宋体"/>
                <w:sz w:val="18"/>
                <w:szCs w:val="18"/>
              </w:rPr>
            </w:pP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both"/>
              <w:textAlignment w:val="auto"/>
              <w:rPr>
                <w:rFonts w:hint="default" w:ascii="Times New Roman" w:hAnsi="Times New Roman" w:cs="Times New Roman"/>
                <w:sz w:val="18"/>
                <w:szCs w:val="18"/>
              </w:rPr>
            </w:pP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both"/>
              <w:textAlignment w:val="auto"/>
              <w:rPr>
                <w:rFonts w:hint="eastAsia" w:ascii="宋体" w:hAnsi="宋体" w:eastAsia="宋体" w:cs="宋体"/>
                <w:color w:val="000000"/>
                <w:sz w:val="18"/>
                <w:szCs w:val="18"/>
              </w:rPr>
            </w:pPr>
            <w:r>
              <w:rPr>
                <w:rFonts w:hint="default" w:ascii="Times New Roman" w:hAnsi="Times New Roman" w:cs="Times New Roman"/>
                <w:sz w:val="18"/>
                <w:szCs w:val="18"/>
              </w:rPr>
              <w:t>重点围绕理解中华民族命运与国家关系，践行总体国家安全观</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使</w:t>
            </w:r>
            <w:r>
              <w:rPr>
                <w:rFonts w:hint="default" w:ascii="Times New Roman" w:hAnsi="Times New Roman" w:cs="Times New Roman"/>
                <w:sz w:val="18"/>
                <w:szCs w:val="18"/>
              </w:rPr>
              <w:t>学生系统掌握总体国家安全观的内涵和精神实质，理解中国特色国家安全体系，树立国家安全底线思维，将国家安全意识转化为自觉行动，强化责任担当。</w:t>
            </w:r>
          </w:p>
        </w:tc>
        <w:tc>
          <w:tcPr>
            <w:tcW w:w="1695" w:type="dxa"/>
            <w:vAlign w:val="top"/>
          </w:tcPr>
          <w:p>
            <w:pPr>
              <w:jc w:val="both"/>
              <w:rPr>
                <w:rFonts w:ascii="Times New Roman" w:hAnsi="Times New Roman" w:cs="Times New Roman"/>
                <w:sz w:val="18"/>
                <w:szCs w:val="18"/>
              </w:rPr>
            </w:pPr>
          </w:p>
          <w:p>
            <w:pPr>
              <w:jc w:val="both"/>
              <w:rPr>
                <w:rFonts w:ascii="Times New Roman" w:hAnsi="Times New Roman" w:cs="Times New Roman"/>
                <w:sz w:val="18"/>
                <w:szCs w:val="18"/>
              </w:rPr>
            </w:pPr>
          </w:p>
          <w:p>
            <w:pPr>
              <w:jc w:val="both"/>
              <w:rPr>
                <w:rFonts w:ascii="Times New Roman" w:hAnsi="Times New Roman" w:cs="Times New Roman"/>
                <w:sz w:val="18"/>
                <w:szCs w:val="18"/>
              </w:rPr>
            </w:pPr>
          </w:p>
          <w:p>
            <w:pPr>
              <w:jc w:val="both"/>
              <w:rPr>
                <w:rFonts w:hint="eastAsia" w:ascii="宋体" w:hAnsi="宋体" w:eastAsia="宋体" w:cs="宋体"/>
                <w:sz w:val="18"/>
                <w:szCs w:val="18"/>
              </w:rPr>
            </w:pPr>
            <w:r>
              <w:rPr>
                <w:rFonts w:ascii="Times New Roman" w:hAnsi="Times New Roman" w:cs="Times New Roman"/>
                <w:sz w:val="18"/>
                <w:szCs w:val="18"/>
              </w:rPr>
              <w:t>政治安全、国土安全、军事安全、经济安全、文化安全、社会安全、科技安全、网络安全、生态安全、资源安全、核安全、海外利益安全以及太空、深海、极地、生物等不断拓展的新型领域安全。</w:t>
            </w:r>
          </w:p>
        </w:tc>
        <w:tc>
          <w:tcPr>
            <w:tcW w:w="1845" w:type="dxa"/>
            <w:vAlign w:val="top"/>
          </w:tcPr>
          <w:p>
            <w:pPr>
              <w:pStyle w:val="19"/>
              <w:spacing w:before="0" w:beforeAutospacing="0" w:after="0" w:afterAutospacing="0" w:line="240" w:lineRule="exact"/>
              <w:ind w:firstLine="360" w:firstLineChars="200"/>
              <w:jc w:val="both"/>
              <w:rPr>
                <w:rFonts w:ascii="Times New Roman" w:hAnsi="Times New Roman" w:cs="Times New Roman"/>
                <w:sz w:val="18"/>
                <w:szCs w:val="18"/>
              </w:rPr>
            </w:pPr>
          </w:p>
          <w:p>
            <w:pPr>
              <w:pStyle w:val="19"/>
              <w:spacing w:before="0" w:beforeAutospacing="0" w:after="0" w:afterAutospacing="0" w:line="240" w:lineRule="exact"/>
              <w:ind w:firstLine="360" w:firstLineChars="200"/>
              <w:jc w:val="both"/>
              <w:rPr>
                <w:rFonts w:ascii="Times New Roman" w:hAnsi="Times New Roman" w:cs="Times New Roman"/>
                <w:sz w:val="18"/>
                <w:szCs w:val="18"/>
              </w:rPr>
            </w:pPr>
          </w:p>
          <w:p>
            <w:pPr>
              <w:pStyle w:val="19"/>
              <w:spacing w:before="0" w:beforeAutospacing="0" w:after="0" w:afterAutospacing="0" w:line="240" w:lineRule="exact"/>
              <w:ind w:firstLine="360" w:firstLineChars="200"/>
              <w:jc w:val="both"/>
              <w:rPr>
                <w:rFonts w:ascii="Times New Roman" w:hAnsi="Times New Roman" w:cs="Times New Roman"/>
                <w:sz w:val="18"/>
                <w:szCs w:val="18"/>
              </w:rPr>
            </w:pPr>
          </w:p>
          <w:p>
            <w:pPr>
              <w:pStyle w:val="19"/>
              <w:spacing w:before="0" w:beforeAutospacing="0" w:after="0" w:afterAutospacing="0" w:line="240" w:lineRule="exact"/>
              <w:ind w:firstLine="360" w:firstLineChars="200"/>
              <w:jc w:val="both"/>
              <w:rPr>
                <w:rFonts w:hint="eastAsia" w:ascii="Times New Roman" w:hAnsi="Times New Roman" w:eastAsia="宋体" w:cs="Times New Roman"/>
                <w:kern w:val="2"/>
                <w:sz w:val="18"/>
                <w:szCs w:val="18"/>
                <w:lang w:val="en-US" w:eastAsia="zh-CN" w:bidi="ar-SA"/>
              </w:rPr>
            </w:pPr>
            <w:r>
              <w:rPr>
                <w:rFonts w:ascii="Times New Roman" w:hAnsi="Times New Roman" w:cs="Times New Roman"/>
                <w:sz w:val="18"/>
                <w:szCs w:val="18"/>
              </w:rPr>
              <w:t>本</w:t>
            </w:r>
            <w:r>
              <w:rPr>
                <w:rFonts w:hint="eastAsia" w:ascii="Times New Roman" w:hAnsi="Times New Roman" w:eastAsia="宋体" w:cs="Times New Roman"/>
                <w:kern w:val="2"/>
                <w:sz w:val="18"/>
                <w:szCs w:val="18"/>
                <w:lang w:val="en-US" w:eastAsia="zh-CN" w:bidi="ar-SA"/>
              </w:rPr>
              <w:t>课程理论与实践相结合方式，教学采用课堂教学、国家安全主题讲座、网络课堂讲授、典型案例分析、小组讨论、社会调查等方法实施。</w:t>
            </w:r>
          </w:p>
          <w:p>
            <w:pPr>
              <w:jc w:val="both"/>
              <w:rPr>
                <w:rFonts w:hint="eastAsia" w:ascii="宋体" w:hAnsi="宋体" w:eastAsia="宋体" w:cs="宋体"/>
                <w:bCs/>
                <w:sz w:val="18"/>
                <w:szCs w:val="18"/>
              </w:rPr>
            </w:pPr>
            <w:r>
              <w:rPr>
                <w:rFonts w:hint="eastAsia" w:ascii="Times New Roman" w:hAnsi="Times New Roman" w:eastAsia="宋体" w:cs="Times New Roman"/>
                <w:kern w:val="2"/>
                <w:sz w:val="18"/>
                <w:szCs w:val="18"/>
                <w:lang w:val="en-US" w:eastAsia="zh-CN" w:bidi="ar-SA"/>
              </w:rPr>
              <w:t>在教学过程中，充分利用各种资源。校内组建充以思政教师、辅导员、保卫干部等为主的教师队伍；同时调动社会资源，聘请国安部门专家参与教育教学活动，“国家安全教育”课程把目标与出现的问题结合起来，让学生更好地感知、理解、接受和践行。</w:t>
            </w:r>
          </w:p>
        </w:tc>
        <w:tc>
          <w:tcPr>
            <w:tcW w:w="1860"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cs="Times New Roman"/>
                <w:sz w:val="18"/>
                <w:szCs w:val="18"/>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cs="Times New Roman"/>
                <w:sz w:val="18"/>
                <w:szCs w:val="18"/>
              </w:rPr>
            </w:pPr>
            <w:r>
              <w:rPr>
                <w:rFonts w:ascii="Times New Roman" w:hAnsi="Times New Roman" w:cs="Times New Roman"/>
                <w:sz w:val="18"/>
                <w:szCs w:val="18"/>
              </w:rPr>
              <w:t>将国家安全教育</w:t>
            </w:r>
            <w:r>
              <w:rPr>
                <w:rFonts w:hint="eastAsia" w:ascii="Times New Roman" w:hAnsi="Times New Roman" w:cs="Times New Roman"/>
                <w:sz w:val="18"/>
                <w:szCs w:val="18"/>
                <w:lang w:val="en-US" w:eastAsia="zh-CN"/>
              </w:rPr>
              <w:t>与</w:t>
            </w:r>
            <w:r>
              <w:rPr>
                <w:rFonts w:ascii="Times New Roman" w:hAnsi="Times New Roman" w:cs="Times New Roman"/>
                <w:sz w:val="18"/>
                <w:szCs w:val="18"/>
              </w:rPr>
              <w:t>思政教育</w:t>
            </w:r>
            <w:r>
              <w:rPr>
                <w:rFonts w:hint="eastAsia" w:ascii="Times New Roman" w:hAnsi="Times New Roman" w:cs="Times New Roman"/>
                <w:sz w:val="18"/>
                <w:szCs w:val="18"/>
                <w:lang w:val="en-US" w:eastAsia="zh-CN"/>
              </w:rPr>
              <w:t>相互融合</w:t>
            </w:r>
            <w:r>
              <w:rPr>
                <w:rFonts w:ascii="Times New Roman" w:hAnsi="Times New Roman" w:cs="Times New Roman"/>
                <w:sz w:val="18"/>
                <w:szCs w:val="18"/>
              </w:rPr>
              <w:t>，</w:t>
            </w:r>
            <w:r>
              <w:rPr>
                <w:rFonts w:hint="eastAsia" w:ascii="Times New Roman" w:hAnsi="Times New Roman" w:cs="Times New Roman"/>
                <w:sz w:val="18"/>
                <w:szCs w:val="18"/>
                <w:lang w:val="en-US" w:eastAsia="zh-CN"/>
              </w:rPr>
              <w:t>使学生</w:t>
            </w:r>
            <w:r>
              <w:rPr>
                <w:rFonts w:ascii="Times New Roman" w:hAnsi="Times New Roman" w:cs="Times New Roman"/>
                <w:sz w:val="18"/>
                <w:szCs w:val="18"/>
              </w:rPr>
              <w:t>深刻地认识到国家安全的重要性，</w:t>
            </w:r>
            <w:r>
              <w:rPr>
                <w:rFonts w:hint="eastAsia" w:ascii="Times New Roman" w:hAnsi="Times New Roman" w:cs="Times New Roman"/>
                <w:sz w:val="18"/>
                <w:szCs w:val="18"/>
                <w:lang w:val="en-US" w:eastAsia="zh-CN"/>
              </w:rPr>
              <w:t>让</w:t>
            </w:r>
            <w:r>
              <w:rPr>
                <w:rFonts w:ascii="Times New Roman" w:hAnsi="Times New Roman" w:cs="Times New Roman"/>
                <w:sz w:val="18"/>
                <w:szCs w:val="18"/>
              </w:rPr>
              <w:t>学生更加全面地理解国家安全与个人发展、社会进步之间的紧密联系，培养学生的道德品质、政治素养和社会责任感</w:t>
            </w:r>
            <w:r>
              <w:rPr>
                <w:rFonts w:hint="eastAsia" w:ascii="Times New Roman" w:hAnsi="Times New Roman" w:cs="Times New Roman"/>
                <w:sz w:val="18"/>
                <w:szCs w:val="18"/>
                <w:lang w:eastAsia="zh-CN"/>
              </w:rPr>
              <w:t>，</w:t>
            </w:r>
            <w:r>
              <w:rPr>
                <w:rFonts w:ascii="Times New Roman" w:hAnsi="Times New Roman" w:cs="Times New Roman"/>
                <w:sz w:val="18"/>
                <w:szCs w:val="18"/>
              </w:rPr>
              <w:t>从而增强国家安全意识，提升应对安全威胁的能力</w:t>
            </w:r>
            <w:r>
              <w:rPr>
                <w:rFonts w:hint="eastAsia" w:ascii="Times New Roman" w:hAnsi="Times New Roman" w:cs="Times New Roman"/>
                <w:sz w:val="18"/>
                <w:szCs w:val="18"/>
                <w:lang w:eastAsia="zh-CN"/>
              </w:rPr>
              <w:t>，</w:t>
            </w:r>
            <w:r>
              <w:rPr>
                <w:rFonts w:ascii="Times New Roman" w:hAnsi="Times New Roman" w:cs="Times New Roman"/>
                <w:sz w:val="18"/>
                <w:szCs w:val="18"/>
              </w:rPr>
              <w:t>激发他们积极投身国家安全事业的热情和动力。</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cs="Times New Roman"/>
                <w:sz w:val="18"/>
                <w:szCs w:val="18"/>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23</w:t>
            </w:r>
          </w:p>
        </w:tc>
        <w:tc>
          <w:tcPr>
            <w:tcW w:w="1110" w:type="dxa"/>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习近平新时代中国特色社会主义思想概论</w:t>
            </w:r>
          </w:p>
          <w:p>
            <w:pPr>
              <w:rPr>
                <w:rFonts w:hint="eastAsia" w:ascii="宋体" w:hAnsi="宋体" w:eastAsia="宋体" w:cs="宋体"/>
                <w:sz w:val="18"/>
                <w:szCs w:val="18"/>
                <w:lang w:val="en-US" w:eastAsia="zh-CN"/>
              </w:rPr>
            </w:pPr>
          </w:p>
          <w:p>
            <w:pPr>
              <w:rPr>
                <w:rFonts w:hint="eastAsia" w:ascii="宋体" w:hAnsi="宋体" w:eastAsia="宋体" w:cs="宋体"/>
                <w:sz w:val="18"/>
                <w:szCs w:val="18"/>
              </w:rPr>
            </w:pP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sz w:val="18"/>
                <w:szCs w:val="18"/>
                <w:lang w:val="en-US" w:eastAsia="zh-CN"/>
              </w:rPr>
              <w:t>为深入贯彻落实党的十九届六中全会精神，持续推进新时代党的创新理论进教材、进课堂、进学生、进头脑，用习近平新时代中国特色社会主义思想铸魂育人，通过本课程的学习，有助于大学生对马克思主义中国化进程中形成的理论成果有更加准确的把握；对中国共产党领导人民进行革命、建设、改革的历史进程、历史变革、历史成就有更加深刻的认识；对中国共产党在新时代坚持的基本理论、基本路线、基本方略有更加透彻的理解；对运用马克思主义立场、观点和方法认识问题、分析问题和解决问题的能力的提升有更加切实的帮助。</w:t>
            </w:r>
          </w:p>
        </w:tc>
        <w:tc>
          <w:tcPr>
            <w:tcW w:w="1695" w:type="dxa"/>
            <w:vAlign w:val="top"/>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习近平新时代中国特色社会主义思想及其历史地位；</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坚持和发展中国特色社会主义的总任务；</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“五位一体”总体布局；</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“四个全面”战略布局；</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实现中华民族伟大复兴的重要保障；</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中国特色大国外交；</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坚持和加强党的领导；</w:t>
            </w:r>
          </w:p>
          <w:p>
            <w:pPr>
              <w:jc w:val="both"/>
              <w:rPr>
                <w:rFonts w:hint="eastAsia" w:ascii="宋体" w:hAnsi="宋体" w:eastAsia="宋体" w:cs="宋体"/>
                <w:sz w:val="18"/>
                <w:szCs w:val="18"/>
              </w:rPr>
            </w:pPr>
            <w:r>
              <w:rPr>
                <w:rFonts w:hint="eastAsia" w:ascii="宋体" w:hAnsi="宋体" w:eastAsia="宋体" w:cs="宋体"/>
                <w:sz w:val="18"/>
                <w:szCs w:val="18"/>
                <w:lang w:val="en-US" w:eastAsia="zh-CN"/>
              </w:rPr>
              <w:t>坚定“四个自信”，担当民族复兴大任。</w:t>
            </w:r>
          </w:p>
        </w:tc>
        <w:tc>
          <w:tcPr>
            <w:tcW w:w="1845" w:type="dxa"/>
            <w:vAlign w:val="top"/>
          </w:tcPr>
          <w:p>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本课程理论</w:t>
            </w:r>
            <w:r>
              <w:rPr>
                <w:rFonts w:hint="eastAsia" w:ascii="宋体" w:hAnsi="宋体" w:eastAsia="宋体" w:cs="宋体"/>
                <w:sz w:val="18"/>
                <w:szCs w:val="18"/>
                <w:lang w:val="en-US" w:eastAsia="zh-CN"/>
              </w:rPr>
              <w:t>讲授</w:t>
            </w:r>
            <w:r>
              <w:rPr>
                <w:rFonts w:hint="eastAsia" w:ascii="宋体" w:hAnsi="宋体" w:eastAsia="宋体" w:cs="宋体"/>
                <w:sz w:val="18"/>
                <w:szCs w:val="18"/>
              </w:rPr>
              <w:t>与实践</w:t>
            </w:r>
            <w:r>
              <w:rPr>
                <w:rFonts w:hint="eastAsia" w:ascii="宋体" w:hAnsi="宋体" w:eastAsia="宋体" w:cs="宋体"/>
                <w:sz w:val="18"/>
                <w:szCs w:val="18"/>
                <w:lang w:val="en-US" w:eastAsia="zh-CN"/>
              </w:rPr>
              <w:t>练习</w:t>
            </w:r>
            <w:r>
              <w:rPr>
                <w:rFonts w:hint="eastAsia" w:ascii="宋体" w:hAnsi="宋体" w:eastAsia="宋体" w:cs="宋体"/>
                <w:sz w:val="18"/>
                <w:szCs w:val="18"/>
              </w:rPr>
              <w:t>相结合、</w:t>
            </w:r>
            <w:r>
              <w:rPr>
                <w:rFonts w:hint="eastAsia" w:ascii="宋体" w:hAnsi="宋体" w:eastAsia="宋体" w:cs="宋体"/>
                <w:sz w:val="18"/>
                <w:szCs w:val="18"/>
                <w:lang w:val="en-US" w:eastAsia="zh-CN"/>
              </w:rPr>
              <w:t>课堂</w:t>
            </w:r>
            <w:r>
              <w:rPr>
                <w:rFonts w:hint="eastAsia" w:ascii="宋体" w:hAnsi="宋体" w:eastAsia="宋体" w:cs="宋体"/>
                <w:sz w:val="18"/>
                <w:szCs w:val="18"/>
              </w:rPr>
              <w:t>讲授与</w:t>
            </w:r>
            <w:r>
              <w:rPr>
                <w:rFonts w:hint="eastAsia" w:ascii="宋体" w:hAnsi="宋体" w:eastAsia="宋体" w:cs="宋体"/>
                <w:sz w:val="18"/>
                <w:szCs w:val="18"/>
                <w:lang w:val="en-US" w:eastAsia="zh-CN"/>
              </w:rPr>
              <w:t>虚拟VR</w:t>
            </w:r>
            <w:r>
              <w:rPr>
                <w:rFonts w:hint="eastAsia" w:ascii="宋体" w:hAnsi="宋体" w:eastAsia="宋体" w:cs="宋体"/>
                <w:sz w:val="18"/>
                <w:szCs w:val="18"/>
              </w:rPr>
              <w:t>相结合。教学采用</w:t>
            </w:r>
            <w:r>
              <w:rPr>
                <w:rFonts w:hint="eastAsia" w:ascii="宋体" w:hAnsi="宋体" w:eastAsia="宋体" w:cs="宋体"/>
                <w:sz w:val="18"/>
                <w:szCs w:val="18"/>
                <w:lang w:val="en-US" w:eastAsia="zh-CN"/>
              </w:rPr>
              <w:t>在线课程学习</w:t>
            </w:r>
            <w:r>
              <w:rPr>
                <w:rFonts w:hint="eastAsia" w:ascii="宋体" w:hAnsi="宋体" w:eastAsia="宋体" w:cs="宋体"/>
                <w:sz w:val="18"/>
                <w:szCs w:val="18"/>
              </w:rPr>
              <w:t>、典型案例分析、</w:t>
            </w:r>
            <w:r>
              <w:rPr>
                <w:rFonts w:hint="eastAsia" w:ascii="宋体" w:hAnsi="宋体" w:eastAsia="宋体" w:cs="宋体"/>
                <w:sz w:val="18"/>
                <w:szCs w:val="18"/>
                <w:lang w:val="en-US" w:eastAsia="zh-CN"/>
              </w:rPr>
              <w:t>问题链讲授、</w:t>
            </w:r>
            <w:r>
              <w:rPr>
                <w:rFonts w:hint="eastAsia" w:ascii="宋体" w:hAnsi="宋体" w:eastAsia="宋体" w:cs="宋体"/>
                <w:sz w:val="18"/>
                <w:szCs w:val="18"/>
              </w:rPr>
              <w:t>小组讨论、社会调查等方法</w:t>
            </w:r>
            <w:r>
              <w:rPr>
                <w:rFonts w:hint="eastAsia" w:ascii="宋体" w:hAnsi="宋体" w:eastAsia="宋体" w:cs="宋体"/>
                <w:sz w:val="18"/>
                <w:szCs w:val="18"/>
                <w:lang w:val="en-US" w:eastAsia="zh-CN"/>
              </w:rPr>
              <w:t>实施。</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both"/>
              <w:textAlignment w:val="auto"/>
              <w:rPr>
                <w:rFonts w:hint="eastAsia" w:ascii="宋体" w:hAnsi="宋体" w:eastAsia="宋体" w:cs="宋体"/>
                <w:color w:val="000000"/>
                <w:sz w:val="18"/>
                <w:szCs w:val="18"/>
                <w:lang w:val="en-US" w:eastAsia="zh-CN"/>
              </w:rPr>
            </w:pPr>
            <w:r>
              <w:rPr>
                <w:rFonts w:hint="eastAsia" w:ascii="宋体" w:hAnsi="宋体" w:eastAsia="宋体" w:cs="宋体"/>
                <w:sz w:val="18"/>
                <w:szCs w:val="18"/>
              </w:rPr>
              <w:t>在教学的过程中，充分利用</w:t>
            </w:r>
            <w:r>
              <w:rPr>
                <w:rFonts w:hint="eastAsia" w:ascii="宋体" w:hAnsi="宋体" w:eastAsia="宋体" w:cs="宋体"/>
                <w:sz w:val="18"/>
                <w:szCs w:val="18"/>
                <w:lang w:val="en-US" w:eastAsia="zh-CN"/>
              </w:rPr>
              <w:t>校内外</w:t>
            </w:r>
            <w:r>
              <w:rPr>
                <w:rFonts w:hint="eastAsia" w:ascii="宋体" w:hAnsi="宋体" w:eastAsia="宋体" w:cs="宋体"/>
                <w:sz w:val="18"/>
                <w:szCs w:val="18"/>
              </w:rPr>
              <w:t>各种资源</w:t>
            </w:r>
            <w:r>
              <w:rPr>
                <w:rFonts w:hint="eastAsia" w:ascii="宋体" w:hAnsi="宋体" w:eastAsia="宋体" w:cs="宋体"/>
                <w:sz w:val="18"/>
                <w:szCs w:val="18"/>
                <w:lang w:eastAsia="zh-CN"/>
              </w:rPr>
              <w:t>，</w:t>
            </w:r>
            <w:r>
              <w:rPr>
                <w:rFonts w:hint="eastAsia" w:ascii="宋体" w:hAnsi="宋体" w:eastAsia="宋体" w:cs="宋体"/>
                <w:sz w:val="18"/>
                <w:szCs w:val="18"/>
              </w:rPr>
              <w:t>丰富教学内容，提高教学质量。</w:t>
            </w:r>
          </w:p>
          <w:p>
            <w:pPr>
              <w:jc w:val="both"/>
              <w:rPr>
                <w:rFonts w:hint="eastAsia" w:ascii="宋体" w:hAnsi="宋体" w:eastAsia="宋体" w:cs="宋体"/>
                <w:bCs/>
                <w:sz w:val="18"/>
                <w:szCs w:val="18"/>
              </w:rPr>
            </w:pPr>
          </w:p>
        </w:tc>
        <w:tc>
          <w:tcPr>
            <w:tcW w:w="1860" w:type="dxa"/>
            <w:vAlign w:val="top"/>
          </w:tcPr>
          <w:p>
            <w:pPr>
              <w:jc w:val="both"/>
              <w:rPr>
                <w:rFonts w:hint="eastAsia" w:ascii="宋体" w:hAnsi="宋体" w:eastAsia="宋体" w:cs="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pStyle w:val="20"/>
              <w:jc w:val="center"/>
              <w:rPr>
                <w:rFonts w:hint="eastAsia" w:ascii="宋体" w:hAnsi="宋体" w:eastAsia="华文细黑" w:cs="宋体"/>
                <w:sz w:val="18"/>
                <w:szCs w:val="18"/>
                <w:lang w:val="en-US" w:eastAsia="zh-CN"/>
              </w:rPr>
            </w:pPr>
            <w:r>
              <w:rPr>
                <w:rFonts w:hint="eastAsia"/>
                <w:sz w:val="18"/>
                <w:szCs w:val="18"/>
              </w:rPr>
              <w:t>2</w:t>
            </w:r>
            <w:r>
              <w:rPr>
                <w:rFonts w:hint="eastAsia"/>
                <w:sz w:val="18"/>
                <w:szCs w:val="18"/>
                <w:lang w:val="en-US" w:eastAsia="zh-CN"/>
              </w:rPr>
              <w:t>4</w:t>
            </w:r>
          </w:p>
        </w:tc>
        <w:tc>
          <w:tcPr>
            <w:tcW w:w="1110" w:type="dxa"/>
            <w:vAlign w:val="center"/>
          </w:tcPr>
          <w:p>
            <w:pPr>
              <w:pStyle w:val="2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大学美育导论</w:t>
            </w:r>
          </w:p>
        </w:tc>
        <w:tc>
          <w:tcPr>
            <w:tcW w:w="2055" w:type="dxa"/>
            <w:vAlign w:val="top"/>
          </w:tcPr>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通过本课程的学习，使学生们了解和掌握美育的基本知识、学习方法等，提高学生对美的感受力，培养学生对美的鉴赏能力、评析能力和创造能力。加强和提高高职学生综合审美素质，为进一步学习艺术鉴赏课程打下基础。</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1、了解美、美育、美学的概念，了解美育、美学的起源发展</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通过对美育概念、起源发展的学习，为学习美育提供基础，对美生成一个基本的认识。</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2、学习美的类型与范畴</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通过对美的类型与范畴学习、了解自然、社会、艺术美之间的关系，便于从美学的角度进一步探索美不同的审美形态下的审美范畴。</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3、学习审美的本质过程和特征，了解和掌握感知美的方法</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通过学习审美本质、体验审美过程、总结审美特征。为了解和掌握感知美的方法打下基础，通过学习感知美的方法，在实践中理解美、领悟美、创造美。了解审美批评的方法和特征。</w:t>
            </w:r>
          </w:p>
          <w:p>
            <w:pPr>
              <w:pStyle w:val="20"/>
              <w:jc w:val="both"/>
              <w:rPr>
                <w:rFonts w:hint="eastAsia" w:ascii="宋体" w:hAnsi="宋体" w:eastAsia="宋体" w:cs="宋体"/>
                <w:kern w:val="2"/>
                <w:sz w:val="18"/>
                <w:szCs w:val="18"/>
                <w:lang w:val="en-US" w:eastAsia="zh-CN" w:bidi="ar-SA"/>
              </w:rPr>
            </w:pPr>
          </w:p>
        </w:tc>
        <w:tc>
          <w:tcPr>
            <w:tcW w:w="1695" w:type="dxa"/>
            <w:vAlign w:val="top"/>
          </w:tcPr>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第一章 概念导读（4课时）</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美、美育、美学的概念理解。</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美育、美学的起源与发展。</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美的类型与范畴（8课时）</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美的类型</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（1）自然美、社会美、艺术美及其之间的联系与区别。</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美的范畴</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（1）优美与崇高</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（2）悲剧与戏剧</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（3）形式与内容</w:t>
            </w:r>
          </w:p>
          <w:p>
            <w:pPr>
              <w:pStyle w:val="20"/>
              <w:jc w:val="both"/>
              <w:rPr>
                <w:rFonts w:hint="eastAsia" w:ascii="宋体" w:hAnsi="宋体" w:eastAsia="宋体" w:cs="宋体"/>
                <w:kern w:val="2"/>
                <w:sz w:val="18"/>
                <w:szCs w:val="18"/>
                <w:lang w:val="en-US" w:eastAsia="zh-CN" w:bidi="ar-SA"/>
              </w:rPr>
            </w:pP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如何审美（4课时）</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审美的本质与特征</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如何感知美</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审美批评</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4、审美实践</w:t>
            </w:r>
          </w:p>
          <w:p>
            <w:pPr>
              <w:pStyle w:val="20"/>
              <w:jc w:val="both"/>
              <w:rPr>
                <w:rFonts w:hint="eastAsia" w:ascii="宋体" w:hAnsi="宋体" w:eastAsia="宋体" w:cs="宋体"/>
                <w:kern w:val="2"/>
                <w:sz w:val="18"/>
                <w:szCs w:val="18"/>
                <w:lang w:val="en-US" w:eastAsia="zh-CN" w:bidi="ar-SA"/>
              </w:rPr>
            </w:pPr>
          </w:p>
        </w:tc>
        <w:tc>
          <w:tcPr>
            <w:tcW w:w="1845" w:type="dxa"/>
            <w:vAlign w:val="top"/>
          </w:tcPr>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1.坚持立德树人，发挥课程的育人功能</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全面落实党的教育方针，落实立德树人根本任务。充分发挥美育课程的素质育人功能，将课程内容与育人目标相融合，积极培育和践行社会主义核心价值观。教师要关注课程内容价值取向，提炼课程思政元素，根据学科特点，设计合理的教学活动，采取灵活多样的教学方法，引导学生形成正确的世界观、价值观、人生观，培养学生爱国主义情怀和民族自豪感。</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2.明确教学目标，培养本学科核心素养</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立德树人是教育的根本任务。在美育教学中，教师必须坚持正确的育人理念, 将社会主义核心价值观贯穿于发展学生美育学科核心素养的过程中，培养学生逐步形成正确的价值观念，树立为人民幸福、民族振兴和社会进步作贡献的远大志向，成为有理想、有本领、有担当的时代新人。要深刻理解美育学科核心素养的内涵、育人价值、表现形式和层次水平，将课程目标、教学内容、教学形式、教学方法和教学手段等聚焦于培养和发展美育学科核心素养上。</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3．聚焦职业特色，加强美学应用能力培养</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职业教育要突出对人才的技术和技能的培养，这是职业教育的培养目标也是职业教育的特色。教学中，要加强美育教学内容与社会生活、专业课程和职业应用的联系，注重选择和设计与行业企业相关联的教学情境，增强学生的美学应用意识；要理论联系实际，采取以解决问题为主线的教学方式，通过剔出问题并解决问题，培养学生运用美育知识解决生活中实际问题的能力。在实践和应用的过程中，促进学生读懂自然、说清艺术、能解决生活中相处德实际问题。</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 提升信息素养，探索信息化背景下教与学方式的转变</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教师要主动适应信息时代背景下的美育教学方式，结合美育学科特点，将信息技术与美育课程深度融合，有效实施课程的信息化教学。教学中，教师要充分利用微课、在线开放课程及教学软件等数字化教学资源，高效、直观、生动地呈现教学内容，帮助学生理解美育相关知识， 教师要不断提高现代教育信息技术应用水平，善于利用网络平台获取教学资源，提高课堂教学的信息化程度。利用网络平台开展师生之间、学生之间的交流与合作，创新学习方式、教学方式和教学评价，提高教学效果。</w:t>
            </w:r>
          </w:p>
          <w:p>
            <w:pPr>
              <w:pStyle w:val="20"/>
              <w:jc w:val="both"/>
              <w:rPr>
                <w:rFonts w:hint="eastAsia" w:ascii="宋体" w:hAnsi="宋体" w:eastAsia="宋体" w:cs="宋体"/>
                <w:kern w:val="2"/>
                <w:sz w:val="18"/>
                <w:szCs w:val="18"/>
                <w:lang w:val="en-US" w:eastAsia="zh-CN" w:bidi="ar-SA"/>
              </w:rPr>
            </w:pPr>
          </w:p>
        </w:tc>
        <w:tc>
          <w:tcPr>
            <w:tcW w:w="1860" w:type="dxa"/>
            <w:vAlign w:val="top"/>
          </w:tcPr>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在要体现中西方有关美育、美、美学的特点的基础上突出中国特色的美育特点。</w:t>
            </w:r>
          </w:p>
          <w:p>
            <w:pPr>
              <w:pStyle w:val="2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在美的类型与范畴篇可以在自然美中融入民族自信、在社会美中强调道德的重要性，在艺术美中凸显中国艺术在世界的影响力。</w:t>
            </w:r>
          </w:p>
          <w:p>
            <w:pPr>
              <w:pStyle w:val="20"/>
              <w:jc w:val="both"/>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在如何审美中的能力培育中，使用实践和案例对当下的审丑等现象进行批评，帮助学生建立正确价值观。</w:t>
            </w:r>
          </w:p>
        </w:tc>
      </w:tr>
    </w:tbl>
    <w:p>
      <w:pPr>
        <w:snapToGrid w:val="0"/>
        <w:spacing w:line="560" w:lineRule="exact"/>
        <w:ind w:firstLine="562" w:firstLineChars="200"/>
        <w:rPr>
          <w:rFonts w:hint="eastAsia" w:ascii="宋体" w:hAnsi="宋体"/>
          <w:b/>
          <w:sz w:val="28"/>
          <w:szCs w:val="28"/>
        </w:rPr>
      </w:pPr>
    </w:p>
    <w:p>
      <w:pPr>
        <w:rPr>
          <w:rFonts w:hint="eastAsia" w:ascii="宋体" w:hAnsi="宋体"/>
          <w:b/>
          <w:sz w:val="28"/>
          <w:szCs w:val="28"/>
        </w:rPr>
      </w:pPr>
      <w:r>
        <w:rPr>
          <w:rFonts w:hint="eastAsia" w:ascii="宋体" w:hAnsi="宋体"/>
          <w:b/>
          <w:sz w:val="28"/>
          <w:szCs w:val="28"/>
        </w:rPr>
        <w:br w:type="page"/>
      </w:r>
    </w:p>
    <w:p>
      <w:pPr>
        <w:snapToGrid w:val="0"/>
        <w:spacing w:line="560" w:lineRule="exact"/>
        <w:ind w:firstLine="562" w:firstLineChars="200"/>
        <w:rPr>
          <w:rFonts w:ascii="宋体" w:hAnsi="宋体"/>
          <w:b/>
          <w:sz w:val="28"/>
          <w:szCs w:val="28"/>
        </w:rPr>
      </w:pPr>
      <w:r>
        <w:rPr>
          <w:rFonts w:hint="eastAsia" w:ascii="宋体" w:hAnsi="宋体"/>
          <w:b/>
          <w:sz w:val="28"/>
          <w:szCs w:val="28"/>
        </w:rPr>
        <w:t>（三）专业基础课</w:t>
      </w:r>
    </w:p>
    <w:p>
      <w:pPr>
        <w:jc w:val="center"/>
        <w:rPr>
          <w:sz w:val="18"/>
          <w:szCs w:val="18"/>
        </w:rPr>
      </w:pPr>
      <w:r>
        <w:rPr>
          <w:rFonts w:hint="eastAsia"/>
          <w:sz w:val="18"/>
          <w:szCs w:val="18"/>
        </w:rPr>
        <w:t>表5：</w:t>
      </w:r>
      <w:r>
        <w:rPr>
          <w:rFonts w:hint="eastAsia"/>
          <w:sz w:val="18"/>
          <w:szCs w:val="18"/>
          <w:lang w:eastAsia="zh-CN"/>
        </w:rPr>
        <w:t>现代物流管理</w:t>
      </w:r>
      <w:r>
        <w:rPr>
          <w:rFonts w:hint="eastAsia"/>
          <w:sz w:val="18"/>
          <w:szCs w:val="18"/>
        </w:rPr>
        <w:t>专业基础课一览表</w:t>
      </w:r>
    </w:p>
    <w:tbl>
      <w:tblPr>
        <w:tblStyle w:val="10"/>
        <w:tblW w:w="8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410"/>
        <w:gridCol w:w="1574"/>
        <w:gridCol w:w="1680"/>
        <w:gridCol w:w="1666"/>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trPr>
        <w:tc>
          <w:tcPr>
            <w:tcW w:w="684" w:type="dxa"/>
            <w:vAlign w:val="center"/>
          </w:tcPr>
          <w:p>
            <w:pPr>
              <w:spacing w:line="360" w:lineRule="auto"/>
              <w:jc w:val="center"/>
              <w:rPr>
                <w:b/>
                <w:sz w:val="18"/>
                <w:szCs w:val="18"/>
              </w:rPr>
            </w:pPr>
            <w:r>
              <w:rPr>
                <w:rFonts w:hint="eastAsia"/>
                <w:b/>
                <w:sz w:val="18"/>
                <w:szCs w:val="18"/>
              </w:rPr>
              <w:t>序号</w:t>
            </w:r>
          </w:p>
        </w:tc>
        <w:tc>
          <w:tcPr>
            <w:tcW w:w="1410" w:type="dxa"/>
            <w:vAlign w:val="center"/>
          </w:tcPr>
          <w:p>
            <w:pPr>
              <w:spacing w:line="360" w:lineRule="auto"/>
              <w:jc w:val="center"/>
              <w:rPr>
                <w:b/>
                <w:sz w:val="18"/>
                <w:szCs w:val="18"/>
              </w:rPr>
            </w:pPr>
            <w:r>
              <w:rPr>
                <w:rFonts w:hint="eastAsia"/>
                <w:b/>
                <w:sz w:val="18"/>
                <w:szCs w:val="18"/>
              </w:rPr>
              <w:t>课程名称</w:t>
            </w:r>
          </w:p>
        </w:tc>
        <w:tc>
          <w:tcPr>
            <w:tcW w:w="1574" w:type="dxa"/>
            <w:vAlign w:val="center"/>
          </w:tcPr>
          <w:p>
            <w:pPr>
              <w:spacing w:line="360" w:lineRule="auto"/>
              <w:jc w:val="center"/>
              <w:rPr>
                <w:b/>
                <w:sz w:val="18"/>
                <w:szCs w:val="18"/>
              </w:rPr>
            </w:pPr>
            <w:r>
              <w:rPr>
                <w:rFonts w:hint="eastAsia"/>
                <w:b/>
                <w:sz w:val="18"/>
                <w:szCs w:val="18"/>
              </w:rPr>
              <w:t>课程目标</w:t>
            </w:r>
          </w:p>
        </w:tc>
        <w:tc>
          <w:tcPr>
            <w:tcW w:w="1680" w:type="dxa"/>
            <w:vAlign w:val="center"/>
          </w:tcPr>
          <w:p>
            <w:pPr>
              <w:spacing w:line="360" w:lineRule="auto"/>
              <w:jc w:val="center"/>
              <w:rPr>
                <w:b/>
                <w:sz w:val="18"/>
                <w:szCs w:val="18"/>
              </w:rPr>
            </w:pPr>
            <w:r>
              <w:rPr>
                <w:rFonts w:hint="eastAsia"/>
                <w:b/>
                <w:sz w:val="18"/>
                <w:szCs w:val="18"/>
              </w:rPr>
              <w:t>主要教学内容</w:t>
            </w:r>
          </w:p>
        </w:tc>
        <w:tc>
          <w:tcPr>
            <w:tcW w:w="1666" w:type="dxa"/>
            <w:vAlign w:val="center"/>
          </w:tcPr>
          <w:p>
            <w:pPr>
              <w:spacing w:line="360" w:lineRule="auto"/>
              <w:jc w:val="center"/>
              <w:rPr>
                <w:b/>
                <w:sz w:val="18"/>
                <w:szCs w:val="18"/>
              </w:rPr>
            </w:pPr>
            <w:r>
              <w:rPr>
                <w:rFonts w:hint="eastAsia"/>
                <w:b/>
                <w:sz w:val="18"/>
                <w:szCs w:val="18"/>
              </w:rPr>
              <w:t>主要教学</w:t>
            </w:r>
            <w:r>
              <w:rPr>
                <w:b/>
                <w:sz w:val="18"/>
                <w:szCs w:val="18"/>
              </w:rPr>
              <w:t>要求</w:t>
            </w:r>
          </w:p>
        </w:tc>
        <w:tc>
          <w:tcPr>
            <w:tcW w:w="1880" w:type="dxa"/>
            <w:vAlign w:val="center"/>
          </w:tcPr>
          <w:p>
            <w:pPr>
              <w:spacing w:line="360" w:lineRule="auto"/>
              <w:jc w:val="center"/>
              <w:rPr>
                <w:b/>
                <w:color w:val="000000"/>
                <w:sz w:val="18"/>
                <w:szCs w:val="18"/>
              </w:rPr>
            </w:pPr>
            <w:r>
              <w:rPr>
                <w:rFonts w:hint="eastAsia"/>
                <w:b/>
                <w:color w:val="000000"/>
                <w:sz w:val="18"/>
                <w:szCs w:val="18"/>
              </w:rPr>
              <w:t>课程思政育人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84" w:type="dxa"/>
            <w:vAlign w:val="center"/>
          </w:tcPr>
          <w:p>
            <w:pPr>
              <w:jc w:val="center"/>
              <w:rPr>
                <w:b/>
              </w:rPr>
            </w:pPr>
            <w:r>
              <w:rPr>
                <w:rFonts w:hint="eastAsia"/>
                <w:b/>
              </w:rPr>
              <w:t>1</w:t>
            </w:r>
          </w:p>
        </w:tc>
        <w:tc>
          <w:tcPr>
            <w:tcW w:w="1410" w:type="dxa"/>
            <w:vAlign w:val="center"/>
          </w:tcPr>
          <w:p>
            <w:pPr>
              <w:snapToGrid w:val="0"/>
              <w:ind w:left="-5" w:leftChars="0" w:firstLine="3" w:firstLineChars="2"/>
              <w:rPr>
                <w:sz w:val="18"/>
                <w:szCs w:val="18"/>
              </w:rPr>
            </w:pPr>
            <w:r>
              <w:rPr>
                <w:rFonts w:hint="eastAsia"/>
                <w:sz w:val="18"/>
                <w:szCs w:val="18"/>
              </w:rPr>
              <w:t>物流管理基础</w:t>
            </w:r>
          </w:p>
        </w:tc>
        <w:tc>
          <w:tcPr>
            <w:tcW w:w="1574" w:type="dxa"/>
            <w:vAlign w:val="top"/>
          </w:tcPr>
          <w:p>
            <w:pPr>
              <w:jc w:val="both"/>
              <w:rPr>
                <w:rFonts w:hint="eastAsia" w:ascii="宋体" w:hAnsi="宋体" w:eastAsia="宋体" w:cs="宋体"/>
                <w:sz w:val="18"/>
                <w:szCs w:val="18"/>
              </w:rPr>
            </w:pPr>
            <w:r>
              <w:rPr>
                <w:rFonts w:hint="eastAsia" w:ascii="宋体" w:hAnsi="宋体" w:eastAsia="宋体" w:cs="宋体"/>
                <w:sz w:val="18"/>
                <w:szCs w:val="18"/>
              </w:rPr>
              <w:t>物流管理基础的课程目标旨在培养学生具备物流管理的基本知识和技能，为他们未来在物流领域的工作奠定基础。通过课程学习，学生应能够了解国内外物流管理的发展，掌握物流管理的基本概念和知识，了解现代物流系统的基本功能，对物流客户服务、成本管理、标准化等方面有一个比较全面的认识。</w:t>
            </w:r>
          </w:p>
        </w:tc>
        <w:tc>
          <w:tcPr>
            <w:tcW w:w="1680" w:type="dxa"/>
            <w:vAlign w:val="top"/>
          </w:tcPr>
          <w:p>
            <w:pPr>
              <w:jc w:val="both"/>
              <w:rPr>
                <w:rFonts w:hint="eastAsia" w:ascii="宋体" w:hAnsi="宋体" w:eastAsia="宋体" w:cs="宋体"/>
                <w:sz w:val="18"/>
                <w:szCs w:val="18"/>
              </w:rPr>
            </w:pPr>
            <w:r>
              <w:rPr>
                <w:rFonts w:hint="eastAsia" w:ascii="宋体" w:hAnsi="宋体" w:eastAsia="宋体" w:cs="宋体"/>
                <w:sz w:val="18"/>
                <w:szCs w:val="18"/>
              </w:rPr>
              <w:t>物流管理基础的主要教学内容包括物流的基本概念、物流管理和供应链管理、物流的系统化、物流的主体功能、物流的辅助功能、物流信息管理、物流客户服务、物流成本管理、物流标准化、物流管理组织、第三方与第四方物流、快递业务与服务、冷链物流、物流业的发展等方面。这些教学内容旨在帮助学生全面了解和掌握物流管理的基础知识和理论。</w:t>
            </w:r>
          </w:p>
        </w:tc>
        <w:tc>
          <w:tcPr>
            <w:tcW w:w="1666" w:type="dxa"/>
            <w:vAlign w:val="top"/>
          </w:tcPr>
          <w:p>
            <w:pPr>
              <w:jc w:val="both"/>
              <w:rPr>
                <w:rFonts w:hint="eastAsia" w:ascii="宋体" w:hAnsi="宋体" w:eastAsia="宋体" w:cs="宋体"/>
                <w:sz w:val="18"/>
                <w:szCs w:val="18"/>
              </w:rPr>
            </w:pPr>
            <w:r>
              <w:rPr>
                <w:rFonts w:hint="eastAsia" w:ascii="宋体" w:hAnsi="宋体" w:eastAsia="宋体" w:cs="宋体"/>
                <w:sz w:val="18"/>
                <w:szCs w:val="18"/>
              </w:rPr>
              <w:t>学生应熟练掌握物流管理的基本理论和方法。</w:t>
            </w:r>
          </w:p>
          <w:p>
            <w:pPr>
              <w:jc w:val="both"/>
              <w:rPr>
                <w:rFonts w:hint="eastAsia" w:ascii="宋体" w:hAnsi="宋体" w:eastAsia="宋体" w:cs="宋体"/>
                <w:spacing w:val="-6"/>
                <w:sz w:val="18"/>
                <w:szCs w:val="18"/>
              </w:rPr>
            </w:pPr>
            <w:r>
              <w:rPr>
                <w:rFonts w:hint="eastAsia" w:ascii="宋体" w:hAnsi="宋体" w:eastAsia="宋体" w:cs="宋体"/>
                <w:sz w:val="18"/>
                <w:szCs w:val="18"/>
              </w:rPr>
              <w:t>能够进行</w:t>
            </w:r>
            <w:r>
              <w:rPr>
                <w:rFonts w:hint="eastAsia" w:ascii="宋体" w:hAnsi="宋体" w:eastAsia="宋体" w:cs="宋体"/>
                <w:spacing w:val="-6"/>
                <w:sz w:val="18"/>
                <w:szCs w:val="18"/>
              </w:rPr>
              <w:t>物流成本的计算和控制，优化仓储和配送流程。</w:t>
            </w:r>
          </w:p>
          <w:p>
            <w:pPr>
              <w:jc w:val="both"/>
              <w:rPr>
                <w:rFonts w:hint="eastAsia" w:ascii="宋体" w:hAnsi="宋体" w:eastAsia="宋体" w:cs="宋体"/>
                <w:sz w:val="18"/>
                <w:szCs w:val="18"/>
              </w:rPr>
            </w:pPr>
            <w:r>
              <w:rPr>
                <w:rFonts w:hint="eastAsia" w:ascii="宋体" w:hAnsi="宋体" w:eastAsia="宋体" w:cs="宋体"/>
                <w:sz w:val="18"/>
                <w:szCs w:val="18"/>
              </w:rPr>
              <w:t>理解并应用供应链管理的理念，提高供应链的协调性和效率。</w:t>
            </w:r>
          </w:p>
          <w:p>
            <w:pPr>
              <w:jc w:val="both"/>
              <w:rPr>
                <w:rFonts w:hint="eastAsia" w:ascii="宋体" w:hAnsi="宋体" w:eastAsia="宋体" w:cs="宋体"/>
                <w:spacing w:val="-6"/>
                <w:sz w:val="18"/>
                <w:szCs w:val="18"/>
              </w:rPr>
            </w:pPr>
            <w:r>
              <w:rPr>
                <w:rFonts w:hint="eastAsia" w:ascii="宋体" w:hAnsi="宋体" w:eastAsia="宋体" w:cs="宋体"/>
                <w:sz w:val="18"/>
                <w:szCs w:val="18"/>
              </w:rPr>
              <w:t>熟悉物</w:t>
            </w:r>
            <w:r>
              <w:rPr>
                <w:rFonts w:hint="eastAsia" w:ascii="宋体" w:hAnsi="宋体" w:eastAsia="宋体" w:cs="宋体"/>
                <w:spacing w:val="-6"/>
                <w:sz w:val="18"/>
                <w:szCs w:val="18"/>
              </w:rPr>
              <w:t>流信息系统的使用，提升物流管理的信息化水平。</w:t>
            </w:r>
          </w:p>
          <w:p>
            <w:pPr>
              <w:jc w:val="both"/>
              <w:rPr>
                <w:rFonts w:hint="eastAsia" w:ascii="宋体" w:hAnsi="宋体" w:eastAsia="宋体" w:cs="宋体"/>
                <w:sz w:val="18"/>
                <w:szCs w:val="18"/>
              </w:rPr>
            </w:pPr>
            <w:r>
              <w:rPr>
                <w:rFonts w:hint="eastAsia" w:ascii="宋体" w:hAnsi="宋体" w:eastAsia="宋体" w:cs="宋体"/>
                <w:sz w:val="18"/>
                <w:szCs w:val="18"/>
              </w:rPr>
              <w:t>培养学生的实际操作能力和团队合作能力，为将来从事物流管理工作打下基础。https://www.icourse163.org/course/YNUFE-1458483161?from=searchPage&amp;outVendor=zw_mooc_pcssjg_</w:t>
            </w:r>
          </w:p>
        </w:tc>
        <w:tc>
          <w:tcPr>
            <w:tcW w:w="1880" w:type="dxa"/>
            <w:vAlign w:val="top"/>
          </w:tcPr>
          <w:p>
            <w:pPr>
              <w:jc w:val="both"/>
              <w:rPr>
                <w:rFonts w:hint="eastAsia" w:ascii="宋体" w:hAnsi="宋体" w:eastAsia="宋体" w:cs="宋体"/>
                <w:sz w:val="18"/>
                <w:szCs w:val="18"/>
              </w:rPr>
            </w:pPr>
            <w:r>
              <w:rPr>
                <w:rFonts w:hint="eastAsia" w:ascii="宋体" w:hAnsi="宋体" w:eastAsia="宋体" w:cs="宋体"/>
                <w:sz w:val="18"/>
                <w:szCs w:val="18"/>
              </w:rPr>
              <w:t>诚信教育：强调诚信在物流管理中的重要性，如确保物流信息的准确性和及时性，建立客户信任等。</w:t>
            </w:r>
          </w:p>
          <w:p>
            <w:pPr>
              <w:jc w:val="both"/>
              <w:rPr>
                <w:rFonts w:hint="eastAsia" w:ascii="宋体" w:hAnsi="宋体" w:eastAsia="宋体" w:cs="宋体"/>
                <w:sz w:val="18"/>
                <w:szCs w:val="18"/>
              </w:rPr>
            </w:pPr>
            <w:r>
              <w:rPr>
                <w:rFonts w:hint="eastAsia" w:ascii="宋体" w:hAnsi="宋体" w:eastAsia="宋体" w:cs="宋体"/>
                <w:sz w:val="18"/>
                <w:szCs w:val="18"/>
              </w:rPr>
              <w:t>团队协作精神：培养团队协作精神，学会在团队中有效沟通和协作，共同完成任务。</w:t>
            </w:r>
          </w:p>
          <w:p>
            <w:pPr>
              <w:jc w:val="both"/>
              <w:rPr>
                <w:rFonts w:hint="eastAsia" w:ascii="宋体" w:hAnsi="宋体" w:eastAsia="宋体" w:cs="宋体"/>
                <w:sz w:val="18"/>
                <w:szCs w:val="18"/>
              </w:rPr>
            </w:pPr>
            <w:r>
              <w:rPr>
                <w:rFonts w:hint="eastAsia" w:ascii="宋体" w:hAnsi="宋体" w:eastAsia="宋体" w:cs="宋体"/>
                <w:sz w:val="18"/>
                <w:szCs w:val="18"/>
              </w:rPr>
              <w:t>客户服务意识：树立以客户为中心的服务理念，提供优质的服务和产品。</w:t>
            </w:r>
          </w:p>
          <w:p>
            <w:pPr>
              <w:jc w:val="both"/>
              <w:rPr>
                <w:rFonts w:hint="eastAsia" w:ascii="宋体" w:hAnsi="宋体" w:eastAsia="宋体" w:cs="宋体"/>
                <w:sz w:val="18"/>
                <w:szCs w:val="18"/>
              </w:rPr>
            </w:pPr>
            <w:r>
              <w:rPr>
                <w:rFonts w:hint="eastAsia" w:ascii="宋体" w:hAnsi="宋体" w:eastAsia="宋体" w:cs="宋体"/>
                <w:sz w:val="18"/>
                <w:szCs w:val="18"/>
              </w:rPr>
              <w:t>创新意识：鼓励学生勇于面对挑战，不断探索物流管理的新方法和技术。</w:t>
            </w:r>
          </w:p>
          <w:p>
            <w:pPr>
              <w:jc w:val="both"/>
              <w:rPr>
                <w:rFonts w:hint="eastAsia" w:ascii="宋体" w:hAnsi="宋体" w:eastAsia="宋体" w:cs="宋体"/>
                <w:bCs/>
                <w:color w:val="000000"/>
                <w:sz w:val="18"/>
                <w:szCs w:val="18"/>
              </w:rPr>
            </w:pPr>
            <w:r>
              <w:rPr>
                <w:rFonts w:hint="eastAsia" w:ascii="宋体" w:hAnsi="宋体" w:eastAsia="宋体" w:cs="宋体"/>
                <w:sz w:val="18"/>
                <w:szCs w:val="18"/>
              </w:rPr>
              <w:t>社会责任感：教育学生认识到物流管理对社会和环境的影响，树立绿色物流理念，积极参与社会公益活动。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84" w:type="dxa"/>
            <w:vAlign w:val="center"/>
          </w:tcPr>
          <w:p>
            <w:pPr>
              <w:jc w:val="center"/>
              <w:rPr>
                <w:b/>
              </w:rPr>
            </w:pPr>
            <w:r>
              <w:rPr>
                <w:rFonts w:hint="eastAsia"/>
                <w:b/>
              </w:rPr>
              <w:t>2</w:t>
            </w:r>
          </w:p>
        </w:tc>
        <w:tc>
          <w:tcPr>
            <w:tcW w:w="1410" w:type="dxa"/>
            <w:vAlign w:val="center"/>
          </w:tcPr>
          <w:p>
            <w:pPr>
              <w:snapToGrid w:val="0"/>
              <w:ind w:left="-5" w:leftChars="0" w:firstLine="3" w:firstLineChars="2"/>
              <w:rPr>
                <w:sz w:val="18"/>
                <w:szCs w:val="18"/>
              </w:rPr>
            </w:pPr>
            <w:r>
              <w:rPr>
                <w:rFonts w:hint="eastAsia"/>
                <w:sz w:val="18"/>
                <w:szCs w:val="18"/>
              </w:rPr>
              <w:t>货物学基础</w:t>
            </w:r>
          </w:p>
        </w:tc>
        <w:tc>
          <w:tcPr>
            <w:tcW w:w="1574" w:type="dxa"/>
            <w:vAlign w:val="top"/>
          </w:tcPr>
          <w:p>
            <w:pPr>
              <w:jc w:val="both"/>
              <w:rPr>
                <w:rFonts w:hint="eastAsia" w:ascii="宋体" w:hAnsi="宋体" w:eastAsia="宋体" w:cs="宋体"/>
                <w:sz w:val="18"/>
                <w:szCs w:val="18"/>
              </w:rPr>
            </w:pPr>
            <w:r>
              <w:rPr>
                <w:rFonts w:hint="eastAsia" w:ascii="宋体" w:hAnsi="宋体" w:eastAsia="宋体" w:cs="宋体"/>
                <w:sz w:val="18"/>
                <w:szCs w:val="18"/>
              </w:rPr>
              <w:t>使学生能够全面了解和掌握货物学的基本理论、知识和技能。</w:t>
            </w:r>
          </w:p>
          <w:p>
            <w:pPr>
              <w:jc w:val="both"/>
              <w:rPr>
                <w:rFonts w:hint="eastAsia" w:ascii="宋体" w:hAnsi="宋体" w:eastAsia="宋体" w:cs="宋体"/>
                <w:sz w:val="18"/>
                <w:szCs w:val="18"/>
              </w:rPr>
            </w:pPr>
            <w:r>
              <w:rPr>
                <w:rFonts w:hint="eastAsia" w:ascii="宋体" w:hAnsi="宋体" w:eastAsia="宋体" w:cs="宋体"/>
                <w:sz w:val="18"/>
                <w:szCs w:val="18"/>
              </w:rPr>
              <w:t>培养学生的专业能力，包括货物的分类、检验、包装、储存等方面的实务操作技能。</w:t>
            </w:r>
          </w:p>
          <w:p>
            <w:pPr>
              <w:jc w:val="both"/>
              <w:rPr>
                <w:rFonts w:hint="eastAsia" w:ascii="宋体" w:hAnsi="宋体" w:eastAsia="宋体" w:cs="宋体"/>
                <w:sz w:val="18"/>
                <w:szCs w:val="18"/>
              </w:rPr>
            </w:pPr>
            <w:r>
              <w:rPr>
                <w:rFonts w:hint="eastAsia" w:ascii="宋体" w:hAnsi="宋体" w:eastAsia="宋体" w:cs="宋体"/>
                <w:sz w:val="18"/>
                <w:szCs w:val="18"/>
              </w:rPr>
              <w:t>提升学生的方法能力，学会运用所学知识解决实际问题。</w:t>
            </w:r>
          </w:p>
        </w:tc>
        <w:tc>
          <w:tcPr>
            <w:tcW w:w="1680" w:type="dxa"/>
            <w:vAlign w:val="top"/>
          </w:tcPr>
          <w:p>
            <w:pPr>
              <w:jc w:val="both"/>
              <w:rPr>
                <w:rFonts w:hint="eastAsia" w:ascii="宋体" w:hAnsi="宋体" w:eastAsia="宋体" w:cs="宋体"/>
                <w:spacing w:val="-6"/>
                <w:sz w:val="18"/>
                <w:szCs w:val="18"/>
              </w:rPr>
            </w:pPr>
            <w:r>
              <w:rPr>
                <w:rFonts w:hint="eastAsia" w:ascii="宋体" w:hAnsi="宋体" w:eastAsia="宋体" w:cs="宋体"/>
                <w:spacing w:val="-6"/>
                <w:sz w:val="18"/>
                <w:szCs w:val="18"/>
              </w:rPr>
              <w:t>货物的性质与分类：介绍货物的物理性质、化学性质以及货物的分类方法和编码系统。</w:t>
            </w:r>
          </w:p>
          <w:p>
            <w:pPr>
              <w:jc w:val="both"/>
              <w:rPr>
                <w:rFonts w:hint="eastAsia" w:ascii="宋体" w:hAnsi="宋体" w:eastAsia="宋体" w:cs="宋体"/>
                <w:spacing w:val="-6"/>
                <w:sz w:val="18"/>
                <w:szCs w:val="18"/>
              </w:rPr>
            </w:pPr>
            <w:r>
              <w:rPr>
                <w:rFonts w:hint="eastAsia" w:ascii="宋体" w:hAnsi="宋体" w:eastAsia="宋体" w:cs="宋体"/>
                <w:spacing w:val="-6"/>
                <w:sz w:val="18"/>
                <w:szCs w:val="18"/>
              </w:rPr>
              <w:t>货物质量与标准：详细讲解货物质量的影响因素、质量管理方法和货物标准的制定与实施。</w:t>
            </w:r>
          </w:p>
          <w:p>
            <w:pPr>
              <w:jc w:val="both"/>
              <w:rPr>
                <w:rFonts w:hint="eastAsia" w:ascii="宋体" w:hAnsi="宋体" w:eastAsia="宋体" w:cs="宋体"/>
                <w:spacing w:val="-6"/>
                <w:sz w:val="18"/>
                <w:szCs w:val="18"/>
              </w:rPr>
            </w:pPr>
            <w:r>
              <w:rPr>
                <w:rFonts w:hint="eastAsia" w:ascii="宋体" w:hAnsi="宋体" w:eastAsia="宋体" w:cs="宋体"/>
                <w:spacing w:val="-6"/>
                <w:sz w:val="18"/>
                <w:szCs w:val="18"/>
              </w:rPr>
              <w:t>货物检验：阐述货物检验的概念、种类、项目和要求，以及检验步骤和方法。</w:t>
            </w:r>
          </w:p>
          <w:p>
            <w:pPr>
              <w:jc w:val="both"/>
              <w:rPr>
                <w:rFonts w:hint="eastAsia" w:ascii="宋体" w:hAnsi="宋体" w:eastAsia="宋体" w:cs="宋体"/>
                <w:spacing w:val="-6"/>
                <w:sz w:val="18"/>
                <w:szCs w:val="18"/>
              </w:rPr>
            </w:pPr>
            <w:r>
              <w:rPr>
                <w:rFonts w:hint="eastAsia" w:ascii="宋体" w:hAnsi="宋体" w:eastAsia="宋体" w:cs="宋体"/>
                <w:spacing w:val="-6"/>
                <w:sz w:val="18"/>
                <w:szCs w:val="18"/>
              </w:rPr>
              <w:t>货物包装：探讨货物包装的作用、包装材料和包装方法，以及包装标志和积载因数的相关知识。</w:t>
            </w:r>
          </w:p>
          <w:p>
            <w:pPr>
              <w:jc w:val="both"/>
              <w:rPr>
                <w:rFonts w:hint="eastAsia" w:ascii="宋体" w:hAnsi="宋体" w:eastAsia="宋体" w:cs="宋体"/>
                <w:spacing w:val="-6"/>
                <w:sz w:val="18"/>
                <w:szCs w:val="18"/>
              </w:rPr>
            </w:pPr>
            <w:r>
              <w:rPr>
                <w:rFonts w:hint="eastAsia" w:ascii="宋体" w:hAnsi="宋体" w:eastAsia="宋体" w:cs="宋体"/>
                <w:spacing w:val="-6"/>
                <w:sz w:val="18"/>
                <w:szCs w:val="18"/>
              </w:rPr>
              <w:t>货物的储存与养护：讲解货物储存的条件、要求和方法，以及货物在储存过程中的质量变化和养护措施。</w:t>
            </w:r>
          </w:p>
          <w:p>
            <w:pPr>
              <w:jc w:val="both"/>
              <w:rPr>
                <w:rFonts w:hint="eastAsia" w:ascii="宋体" w:hAnsi="宋体" w:eastAsia="宋体" w:cs="宋体"/>
                <w:spacing w:val="-6"/>
                <w:sz w:val="18"/>
                <w:szCs w:val="18"/>
              </w:rPr>
            </w:pPr>
            <w:r>
              <w:rPr>
                <w:rFonts w:hint="eastAsia" w:ascii="宋体" w:hAnsi="宋体" w:eastAsia="宋体" w:cs="宋体"/>
                <w:spacing w:val="-6"/>
                <w:sz w:val="18"/>
                <w:szCs w:val="18"/>
              </w:rPr>
              <w:t>特殊货物的处理：针对危险货物、冷藏货物等特殊货物，介绍其特性、包装、运输和储存等方面的特殊要求。</w:t>
            </w:r>
          </w:p>
        </w:tc>
        <w:tc>
          <w:tcPr>
            <w:tcW w:w="1666" w:type="dxa"/>
            <w:vAlign w:val="top"/>
          </w:tcPr>
          <w:p>
            <w:pPr>
              <w:jc w:val="both"/>
              <w:rPr>
                <w:rFonts w:hint="eastAsia" w:ascii="宋体" w:hAnsi="宋体" w:eastAsia="宋体" w:cs="宋体"/>
                <w:sz w:val="18"/>
                <w:szCs w:val="18"/>
              </w:rPr>
            </w:pPr>
            <w:r>
              <w:rPr>
                <w:rFonts w:hint="eastAsia" w:ascii="宋体" w:hAnsi="宋体" w:eastAsia="宋体" w:cs="宋体"/>
                <w:sz w:val="18"/>
                <w:szCs w:val="18"/>
              </w:rPr>
              <w:t>学生应熟练掌握货物学的基本理论、知识和技能，能够独立完成货物的分类、检验、包装、储存等操作。</w:t>
            </w:r>
          </w:p>
          <w:p>
            <w:pPr>
              <w:jc w:val="both"/>
              <w:rPr>
                <w:rFonts w:hint="eastAsia" w:ascii="宋体" w:hAnsi="宋体" w:eastAsia="宋体" w:cs="宋体"/>
                <w:sz w:val="18"/>
                <w:szCs w:val="18"/>
              </w:rPr>
            </w:pPr>
            <w:r>
              <w:rPr>
                <w:rFonts w:hint="eastAsia" w:ascii="宋体" w:hAnsi="宋体" w:eastAsia="宋体" w:cs="宋体"/>
                <w:sz w:val="18"/>
                <w:szCs w:val="18"/>
              </w:rPr>
              <w:t>学生应具备运用所学知识解决实际问题的能力，能够应对物流过程中出现的各种问题。</w:t>
            </w:r>
          </w:p>
          <w:p>
            <w:pPr>
              <w:jc w:val="both"/>
              <w:rPr>
                <w:rFonts w:hint="eastAsia" w:ascii="宋体" w:hAnsi="宋体" w:eastAsia="宋体" w:cs="宋体"/>
                <w:sz w:val="18"/>
                <w:szCs w:val="18"/>
              </w:rPr>
            </w:pPr>
            <w:r>
              <w:rPr>
                <w:rFonts w:hint="eastAsia" w:ascii="宋体" w:hAnsi="宋体" w:eastAsia="宋体" w:cs="宋体"/>
                <w:sz w:val="18"/>
                <w:szCs w:val="18"/>
              </w:rPr>
              <w:t>学生应具备良好的专业素养和职业道德，能够严格遵守行业规范和标准。</w:t>
            </w:r>
          </w:p>
        </w:tc>
        <w:tc>
          <w:tcPr>
            <w:tcW w:w="1880" w:type="dxa"/>
            <w:vAlign w:val="top"/>
          </w:tcPr>
          <w:p>
            <w:pPr>
              <w:jc w:val="both"/>
              <w:rPr>
                <w:rFonts w:hint="eastAsia" w:ascii="宋体" w:hAnsi="宋体" w:eastAsia="宋体" w:cs="宋体"/>
                <w:sz w:val="18"/>
                <w:szCs w:val="18"/>
              </w:rPr>
            </w:pPr>
            <w:r>
              <w:rPr>
                <w:rFonts w:hint="eastAsia" w:ascii="宋体" w:hAnsi="宋体" w:eastAsia="宋体" w:cs="宋体"/>
                <w:sz w:val="18"/>
                <w:szCs w:val="18"/>
              </w:rPr>
              <w:t>培养学生的社会主义核心价值观，强调诚信、责任和专业精神在货物学领域的重要性。</w:t>
            </w:r>
          </w:p>
          <w:p>
            <w:pPr>
              <w:jc w:val="both"/>
              <w:rPr>
                <w:rFonts w:hint="eastAsia" w:ascii="宋体" w:hAnsi="宋体" w:eastAsia="宋体" w:cs="宋体"/>
                <w:sz w:val="18"/>
                <w:szCs w:val="18"/>
              </w:rPr>
            </w:pPr>
            <w:r>
              <w:rPr>
                <w:rFonts w:hint="eastAsia" w:ascii="宋体" w:hAnsi="宋体" w:eastAsia="宋体" w:cs="宋体"/>
                <w:sz w:val="18"/>
                <w:szCs w:val="18"/>
              </w:rPr>
              <w:t>通过案例分析等方式，引导学生关注社会问题，增强社会责任感和使命感。</w:t>
            </w:r>
          </w:p>
          <w:p>
            <w:pPr>
              <w:jc w:val="both"/>
              <w:rPr>
                <w:rFonts w:hint="eastAsia" w:ascii="宋体" w:hAnsi="宋体" w:eastAsia="宋体" w:cs="宋体"/>
                <w:sz w:val="18"/>
                <w:szCs w:val="18"/>
              </w:rPr>
            </w:pPr>
            <w:r>
              <w:rPr>
                <w:rFonts w:hint="eastAsia" w:ascii="宋体" w:hAnsi="宋体" w:eastAsia="宋体" w:cs="宋体"/>
                <w:sz w:val="18"/>
                <w:szCs w:val="18"/>
              </w:rPr>
              <w:t>结合课程内容，挖掘并融入思政元素和资源，如介绍我国货物学领域的发展成就和前沿技术，激发学生的爱国热情和民族自豪感。</w:t>
            </w:r>
          </w:p>
          <w:p>
            <w:pPr>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84" w:type="dxa"/>
            <w:vAlign w:val="center"/>
          </w:tcPr>
          <w:p>
            <w:pPr>
              <w:jc w:val="center"/>
              <w:rPr>
                <w:b/>
              </w:rPr>
            </w:pPr>
            <w:r>
              <w:rPr>
                <w:rFonts w:hint="eastAsia"/>
                <w:b/>
              </w:rPr>
              <w:t>3</w:t>
            </w:r>
          </w:p>
        </w:tc>
        <w:tc>
          <w:tcPr>
            <w:tcW w:w="1410" w:type="dxa"/>
            <w:vAlign w:val="center"/>
          </w:tcPr>
          <w:p>
            <w:pPr>
              <w:snapToGrid w:val="0"/>
              <w:ind w:left="-5" w:leftChars="0" w:firstLine="3" w:firstLineChars="2"/>
              <w:rPr>
                <w:sz w:val="18"/>
                <w:szCs w:val="18"/>
              </w:rPr>
            </w:pPr>
            <w:r>
              <w:rPr>
                <w:rFonts w:hint="eastAsia"/>
                <w:sz w:val="18"/>
                <w:szCs w:val="18"/>
              </w:rPr>
              <w:t>管理学基础</w:t>
            </w:r>
          </w:p>
        </w:tc>
        <w:tc>
          <w:tcPr>
            <w:tcW w:w="1574" w:type="dxa"/>
            <w:vAlign w:val="top"/>
          </w:tcPr>
          <w:p>
            <w:pPr>
              <w:jc w:val="both"/>
              <w:rPr>
                <w:rFonts w:hint="eastAsia" w:ascii="宋体" w:hAnsi="宋体" w:eastAsia="宋体" w:cs="宋体"/>
                <w:sz w:val="18"/>
                <w:szCs w:val="18"/>
              </w:rPr>
            </w:pPr>
            <w:r>
              <w:rPr>
                <w:rFonts w:hint="eastAsia" w:ascii="宋体" w:hAnsi="宋体" w:eastAsia="宋体" w:cs="宋体"/>
                <w:sz w:val="18"/>
                <w:szCs w:val="18"/>
              </w:rPr>
              <w:t>帮助学生建立对管理学基本概念和原理的理解和应用能力。</w:t>
            </w:r>
          </w:p>
          <w:p>
            <w:pPr>
              <w:jc w:val="both"/>
              <w:rPr>
                <w:rFonts w:hint="eastAsia" w:ascii="宋体" w:hAnsi="宋体" w:eastAsia="宋体" w:cs="宋体"/>
                <w:sz w:val="18"/>
                <w:szCs w:val="18"/>
              </w:rPr>
            </w:pPr>
            <w:r>
              <w:rPr>
                <w:rFonts w:hint="eastAsia" w:ascii="宋体" w:hAnsi="宋体" w:eastAsia="宋体" w:cs="宋体"/>
                <w:sz w:val="18"/>
                <w:szCs w:val="18"/>
              </w:rPr>
              <w:t>培养学生运用管理工具和技巧解决实际问题的能力。</w:t>
            </w:r>
          </w:p>
          <w:p>
            <w:pPr>
              <w:jc w:val="both"/>
              <w:rPr>
                <w:rFonts w:hint="eastAsia" w:ascii="宋体" w:hAnsi="宋体" w:eastAsia="宋体" w:cs="宋体"/>
                <w:sz w:val="18"/>
                <w:szCs w:val="18"/>
              </w:rPr>
            </w:pPr>
            <w:r>
              <w:rPr>
                <w:rFonts w:hint="eastAsia" w:ascii="宋体" w:hAnsi="宋体" w:eastAsia="宋体" w:cs="宋体"/>
                <w:sz w:val="18"/>
                <w:szCs w:val="18"/>
              </w:rPr>
              <w:t>提升学生的管理思维、团队合作和沟通技巧。</w:t>
            </w:r>
          </w:p>
          <w:p>
            <w:pPr>
              <w:jc w:val="both"/>
              <w:rPr>
                <w:rFonts w:hint="eastAsia" w:ascii="宋体" w:hAnsi="宋体" w:eastAsia="宋体" w:cs="宋体"/>
                <w:sz w:val="18"/>
                <w:szCs w:val="18"/>
              </w:rPr>
            </w:pPr>
            <w:r>
              <w:rPr>
                <w:rFonts w:hint="eastAsia" w:ascii="宋体" w:hAnsi="宋体" w:eastAsia="宋体" w:cs="宋体"/>
                <w:sz w:val="18"/>
                <w:szCs w:val="18"/>
              </w:rPr>
              <w:t>为学生的未来职业生涯中的管理挑战做好准备。</w:t>
            </w:r>
          </w:p>
        </w:tc>
        <w:tc>
          <w:tcPr>
            <w:tcW w:w="1680" w:type="dxa"/>
            <w:vAlign w:val="top"/>
          </w:tcPr>
          <w:p>
            <w:pPr>
              <w:jc w:val="both"/>
              <w:rPr>
                <w:rFonts w:hint="eastAsia" w:ascii="宋体" w:hAnsi="宋体" w:eastAsia="宋体" w:cs="宋体"/>
                <w:spacing w:val="-6"/>
                <w:sz w:val="18"/>
                <w:szCs w:val="18"/>
              </w:rPr>
            </w:pPr>
            <w:r>
              <w:rPr>
                <w:rFonts w:hint="eastAsia" w:ascii="宋体" w:hAnsi="宋体" w:eastAsia="宋体" w:cs="宋体"/>
                <w:spacing w:val="-6"/>
                <w:sz w:val="18"/>
                <w:szCs w:val="18"/>
              </w:rPr>
              <w:t>管理学的基本概念、理论和模型，如组织结构、领导力、决策过程等。</w:t>
            </w:r>
          </w:p>
          <w:p>
            <w:pPr>
              <w:jc w:val="both"/>
              <w:rPr>
                <w:rFonts w:hint="eastAsia" w:ascii="宋体" w:hAnsi="宋体" w:eastAsia="宋体" w:cs="宋体"/>
                <w:spacing w:val="-6"/>
                <w:sz w:val="18"/>
                <w:szCs w:val="18"/>
              </w:rPr>
            </w:pPr>
            <w:r>
              <w:rPr>
                <w:rFonts w:hint="eastAsia" w:ascii="宋体" w:hAnsi="宋体" w:eastAsia="宋体" w:cs="宋体"/>
                <w:spacing w:val="-6"/>
                <w:sz w:val="18"/>
                <w:szCs w:val="18"/>
              </w:rPr>
              <w:t>管理学中的各种方法和技术，包括计划、组织、领导、控制等。</w:t>
            </w:r>
          </w:p>
          <w:p>
            <w:pPr>
              <w:jc w:val="both"/>
              <w:rPr>
                <w:rFonts w:hint="eastAsia" w:ascii="宋体" w:hAnsi="宋体" w:eastAsia="宋体" w:cs="宋体"/>
                <w:spacing w:val="-6"/>
                <w:sz w:val="18"/>
                <w:szCs w:val="18"/>
              </w:rPr>
            </w:pPr>
            <w:r>
              <w:rPr>
                <w:rFonts w:hint="eastAsia" w:ascii="宋体" w:hAnsi="宋体" w:eastAsia="宋体" w:cs="宋体"/>
                <w:spacing w:val="-6"/>
                <w:sz w:val="18"/>
                <w:szCs w:val="18"/>
              </w:rPr>
              <w:t>实际案例分析，通过模拟练习来应用所学的管理概念和原理。</w:t>
            </w:r>
          </w:p>
          <w:p>
            <w:pPr>
              <w:jc w:val="both"/>
              <w:rPr>
                <w:rFonts w:hint="eastAsia" w:ascii="宋体" w:hAnsi="宋体" w:eastAsia="宋体" w:cs="宋体"/>
                <w:spacing w:val="-6"/>
                <w:sz w:val="18"/>
                <w:szCs w:val="18"/>
              </w:rPr>
            </w:pPr>
            <w:r>
              <w:rPr>
                <w:rFonts w:hint="eastAsia" w:ascii="宋体" w:hAnsi="宋体" w:eastAsia="宋体" w:cs="宋体"/>
                <w:spacing w:val="-6"/>
                <w:sz w:val="18"/>
                <w:szCs w:val="18"/>
              </w:rPr>
              <w:t>团队合作和沟通技巧的培养，通过小组项目和讨论进行。</w:t>
            </w:r>
          </w:p>
        </w:tc>
        <w:tc>
          <w:tcPr>
            <w:tcW w:w="1666" w:type="dxa"/>
            <w:vAlign w:val="top"/>
          </w:tcPr>
          <w:p>
            <w:pPr>
              <w:jc w:val="both"/>
              <w:rPr>
                <w:rFonts w:hint="eastAsia" w:ascii="宋体" w:hAnsi="宋体" w:eastAsia="宋体" w:cs="宋体"/>
                <w:sz w:val="18"/>
                <w:szCs w:val="18"/>
              </w:rPr>
            </w:pPr>
            <w:r>
              <w:rPr>
                <w:rFonts w:hint="eastAsia" w:ascii="宋体" w:hAnsi="宋体" w:eastAsia="宋体" w:cs="宋体"/>
                <w:sz w:val="18"/>
                <w:szCs w:val="18"/>
              </w:rPr>
              <w:t>学生应熟练掌握管理学的基本概念、原理和方法。</w:t>
            </w:r>
          </w:p>
          <w:p>
            <w:pPr>
              <w:jc w:val="both"/>
              <w:rPr>
                <w:rFonts w:hint="eastAsia" w:ascii="宋体" w:hAnsi="宋体" w:eastAsia="宋体" w:cs="宋体"/>
                <w:spacing w:val="-6"/>
                <w:sz w:val="18"/>
                <w:szCs w:val="18"/>
              </w:rPr>
            </w:pPr>
            <w:r>
              <w:rPr>
                <w:rFonts w:hint="eastAsia" w:ascii="宋体" w:hAnsi="宋体" w:eastAsia="宋体" w:cs="宋体"/>
                <w:sz w:val="18"/>
                <w:szCs w:val="18"/>
              </w:rPr>
              <w:t>能</w:t>
            </w:r>
            <w:r>
              <w:rPr>
                <w:rFonts w:hint="eastAsia" w:ascii="宋体" w:hAnsi="宋体" w:eastAsia="宋体" w:cs="宋体"/>
                <w:spacing w:val="-6"/>
                <w:sz w:val="18"/>
                <w:szCs w:val="18"/>
              </w:rPr>
              <w:t>够运用所学知识解决实际问题，提出有效的解决方案。</w:t>
            </w:r>
          </w:p>
          <w:p>
            <w:pPr>
              <w:jc w:val="both"/>
              <w:rPr>
                <w:rFonts w:hint="eastAsia" w:ascii="宋体" w:hAnsi="宋体" w:eastAsia="宋体" w:cs="宋体"/>
                <w:sz w:val="18"/>
                <w:szCs w:val="18"/>
              </w:rPr>
            </w:pPr>
            <w:r>
              <w:rPr>
                <w:rFonts w:hint="eastAsia" w:ascii="宋体" w:hAnsi="宋体" w:eastAsia="宋体" w:cs="宋体"/>
                <w:sz w:val="18"/>
                <w:szCs w:val="18"/>
              </w:rPr>
              <w:t>具备良好的团队合作能力和沟通技巧，能够与他人合作共同解决问题。</w:t>
            </w:r>
          </w:p>
          <w:p>
            <w:pPr>
              <w:jc w:val="both"/>
              <w:rPr>
                <w:rFonts w:hint="eastAsia" w:ascii="宋体" w:hAnsi="宋体" w:eastAsia="宋体" w:cs="宋体"/>
                <w:sz w:val="18"/>
                <w:szCs w:val="18"/>
              </w:rPr>
            </w:pPr>
            <w:r>
              <w:rPr>
                <w:rFonts w:hint="eastAsia" w:ascii="宋体" w:hAnsi="宋体" w:eastAsia="宋体" w:cs="宋体"/>
                <w:spacing w:val="-6"/>
                <w:sz w:val="18"/>
                <w:szCs w:val="18"/>
              </w:rPr>
              <w:t>培养系统性思考方法，运用逻辑和分析来识别问题的根源</w:t>
            </w:r>
            <w:r>
              <w:rPr>
                <w:rFonts w:hint="eastAsia" w:ascii="宋体" w:hAnsi="宋体" w:eastAsia="宋体" w:cs="宋体"/>
                <w:sz w:val="18"/>
                <w:szCs w:val="18"/>
              </w:rPr>
              <w:t>。https://www.icourse163.org/course/BUCT-1002598056?from=searchPage&amp;outVendor=zw_mooc_pcssjg_</w:t>
            </w:r>
          </w:p>
        </w:tc>
        <w:tc>
          <w:tcPr>
            <w:tcW w:w="1880" w:type="dxa"/>
            <w:vAlign w:val="top"/>
          </w:tcPr>
          <w:p>
            <w:pPr>
              <w:jc w:val="both"/>
              <w:rPr>
                <w:rFonts w:hint="eastAsia" w:ascii="宋体" w:hAnsi="宋体" w:eastAsia="宋体" w:cs="宋体"/>
                <w:spacing w:val="-6"/>
                <w:sz w:val="18"/>
                <w:szCs w:val="18"/>
              </w:rPr>
            </w:pPr>
            <w:r>
              <w:rPr>
                <w:rFonts w:hint="eastAsia" w:ascii="宋体" w:hAnsi="宋体" w:eastAsia="宋体" w:cs="宋体"/>
                <w:bCs/>
                <w:color w:val="000000"/>
                <w:sz w:val="18"/>
                <w:szCs w:val="18"/>
              </w:rPr>
              <w:t>职业道德教育：通过管理学</w:t>
            </w:r>
            <w:r>
              <w:rPr>
                <w:rFonts w:hint="eastAsia" w:ascii="宋体" w:hAnsi="宋体" w:eastAsia="宋体" w:cs="宋体"/>
                <w:spacing w:val="-6"/>
                <w:sz w:val="18"/>
                <w:szCs w:val="18"/>
              </w:rPr>
              <w:t>基础课程，引导学生树立良好的职业道德观念，明确管理者的社会责任和使命。</w:t>
            </w:r>
          </w:p>
          <w:p>
            <w:pPr>
              <w:jc w:val="both"/>
              <w:rPr>
                <w:rFonts w:hint="eastAsia" w:ascii="宋体" w:hAnsi="宋体" w:eastAsia="宋体" w:cs="宋体"/>
                <w:bCs/>
                <w:color w:val="000000"/>
                <w:sz w:val="18"/>
                <w:szCs w:val="18"/>
              </w:rPr>
            </w:pPr>
            <w:r>
              <w:rPr>
                <w:rFonts w:hint="eastAsia" w:ascii="宋体" w:hAnsi="宋体" w:eastAsia="宋体" w:cs="宋体"/>
                <w:bCs/>
                <w:color w:val="000000"/>
                <w:sz w:val="18"/>
                <w:szCs w:val="18"/>
              </w:rPr>
              <w:t>团队协作精神培养：强调团队合作在管理中的重要性，培养学生的团队协作精神和集体荣誉感。</w:t>
            </w:r>
          </w:p>
          <w:p>
            <w:pPr>
              <w:jc w:val="both"/>
              <w:rPr>
                <w:rFonts w:hint="eastAsia" w:ascii="宋体" w:hAnsi="宋体" w:eastAsia="宋体" w:cs="宋体"/>
                <w:bCs/>
                <w:color w:val="000000"/>
                <w:sz w:val="18"/>
                <w:szCs w:val="18"/>
              </w:rPr>
            </w:pPr>
            <w:r>
              <w:rPr>
                <w:rFonts w:hint="eastAsia" w:ascii="宋体" w:hAnsi="宋体" w:eastAsia="宋体" w:cs="宋体"/>
                <w:bCs/>
                <w:color w:val="000000"/>
                <w:sz w:val="18"/>
                <w:szCs w:val="18"/>
              </w:rPr>
              <w:t>创新意识激发：鼓励学生勇于尝试新方法、新思路，培养他们的创新意识和实践能力。</w:t>
            </w:r>
          </w:p>
          <w:p>
            <w:pPr>
              <w:jc w:val="both"/>
              <w:rPr>
                <w:rFonts w:hint="eastAsia" w:ascii="宋体" w:hAnsi="宋体" w:eastAsia="宋体" w:cs="宋体"/>
                <w:bCs/>
                <w:color w:val="000000"/>
                <w:sz w:val="18"/>
                <w:szCs w:val="18"/>
              </w:rPr>
            </w:pPr>
            <w:r>
              <w:rPr>
                <w:rFonts w:hint="eastAsia" w:ascii="宋体" w:hAnsi="宋体" w:eastAsia="宋体" w:cs="宋体"/>
                <w:bCs/>
                <w:color w:val="000000"/>
                <w:sz w:val="18"/>
                <w:szCs w:val="18"/>
              </w:rPr>
              <w:t>社会责任感引导：通过案例分析等方式，引导学生关注社会问题，培</w:t>
            </w:r>
            <w:r>
              <w:rPr>
                <w:rFonts w:hint="eastAsia" w:ascii="宋体" w:hAnsi="宋体" w:eastAsia="宋体" w:cs="宋体"/>
                <w:spacing w:val="-6"/>
                <w:sz w:val="18"/>
                <w:szCs w:val="18"/>
              </w:rPr>
              <w:t>养他们的社会责任感和公民意识。同时，融入绿色管理理念，使学生认识到可持续发</w:t>
            </w:r>
            <w:r>
              <w:rPr>
                <w:rFonts w:hint="eastAsia" w:ascii="宋体" w:hAnsi="宋体" w:eastAsia="宋体" w:cs="宋体"/>
                <w:bCs/>
                <w:color w:val="000000"/>
                <w:sz w:val="18"/>
                <w:szCs w:val="18"/>
              </w:rPr>
              <w:t>展的重要性。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84" w:type="dxa"/>
            <w:vAlign w:val="center"/>
          </w:tcPr>
          <w:p>
            <w:pPr>
              <w:jc w:val="center"/>
              <w:rPr>
                <w:b/>
              </w:rPr>
            </w:pPr>
            <w:r>
              <w:rPr>
                <w:rFonts w:hint="eastAsia"/>
                <w:b/>
              </w:rPr>
              <w:t>4</w:t>
            </w:r>
          </w:p>
        </w:tc>
        <w:tc>
          <w:tcPr>
            <w:tcW w:w="1410" w:type="dxa"/>
            <w:vAlign w:val="center"/>
          </w:tcPr>
          <w:p>
            <w:pPr>
              <w:snapToGrid w:val="0"/>
              <w:ind w:left="-5" w:leftChars="0" w:firstLine="3" w:firstLineChars="2"/>
              <w:rPr>
                <w:sz w:val="18"/>
                <w:szCs w:val="18"/>
              </w:rPr>
            </w:pPr>
            <w:r>
              <w:rPr>
                <w:rFonts w:hint="eastAsia"/>
                <w:sz w:val="18"/>
                <w:szCs w:val="18"/>
              </w:rPr>
              <w:t>经济学基础</w:t>
            </w:r>
          </w:p>
        </w:tc>
        <w:tc>
          <w:tcPr>
            <w:tcW w:w="1574" w:type="dxa"/>
            <w:vAlign w:val="top"/>
          </w:tcPr>
          <w:p>
            <w:pPr>
              <w:jc w:val="both"/>
              <w:rPr>
                <w:rFonts w:hint="eastAsia" w:ascii="宋体" w:hAnsi="宋体" w:eastAsia="宋体" w:cs="宋体"/>
                <w:sz w:val="18"/>
                <w:szCs w:val="18"/>
              </w:rPr>
            </w:pPr>
            <w:r>
              <w:rPr>
                <w:rFonts w:hint="eastAsia" w:ascii="宋体" w:hAnsi="宋体" w:eastAsia="宋体" w:cs="宋体"/>
                <w:sz w:val="18"/>
                <w:szCs w:val="18"/>
              </w:rPr>
              <w:t>使学生全面系统地掌握经济学的基本概念和基本理论。</w:t>
            </w:r>
          </w:p>
          <w:p>
            <w:pPr>
              <w:jc w:val="both"/>
              <w:rPr>
                <w:rFonts w:hint="eastAsia" w:ascii="宋体" w:hAnsi="宋体" w:eastAsia="宋体" w:cs="宋体"/>
                <w:sz w:val="18"/>
                <w:szCs w:val="18"/>
              </w:rPr>
            </w:pPr>
            <w:r>
              <w:rPr>
                <w:rFonts w:hint="eastAsia" w:ascii="宋体" w:hAnsi="宋体" w:eastAsia="宋体" w:cs="宋体"/>
                <w:sz w:val="18"/>
                <w:szCs w:val="18"/>
              </w:rPr>
              <w:t>让学生了解并熟悉市场经济的运行规律，包括产品的供给与需求、消费者行为、生产与成本的关系等。</w:t>
            </w:r>
          </w:p>
          <w:p>
            <w:pPr>
              <w:jc w:val="both"/>
              <w:rPr>
                <w:rFonts w:hint="eastAsia" w:ascii="宋体" w:hAnsi="宋体" w:eastAsia="宋体" w:cs="宋体"/>
                <w:sz w:val="18"/>
                <w:szCs w:val="18"/>
              </w:rPr>
            </w:pPr>
            <w:r>
              <w:rPr>
                <w:rFonts w:hint="eastAsia" w:ascii="宋体" w:hAnsi="宋体" w:eastAsia="宋体" w:cs="宋体"/>
                <w:sz w:val="18"/>
                <w:szCs w:val="18"/>
              </w:rPr>
              <w:t>培养学生的经济分析能力，能够运用经济学原理分析简单的经济现象。</w:t>
            </w:r>
          </w:p>
        </w:tc>
        <w:tc>
          <w:tcPr>
            <w:tcW w:w="1680" w:type="dxa"/>
            <w:vAlign w:val="top"/>
          </w:tcPr>
          <w:p>
            <w:pPr>
              <w:jc w:val="both"/>
              <w:rPr>
                <w:rFonts w:hint="eastAsia" w:ascii="宋体" w:hAnsi="宋体" w:eastAsia="宋体" w:cs="宋体"/>
                <w:sz w:val="18"/>
                <w:szCs w:val="18"/>
              </w:rPr>
            </w:pPr>
            <w:r>
              <w:rPr>
                <w:rFonts w:hint="eastAsia" w:ascii="宋体" w:hAnsi="宋体" w:eastAsia="宋体" w:cs="宋体"/>
                <w:sz w:val="18"/>
                <w:szCs w:val="18"/>
              </w:rPr>
              <w:t>经济学概述：介绍经济学的研究对象、内容和方法。</w:t>
            </w:r>
          </w:p>
          <w:p>
            <w:pPr>
              <w:jc w:val="both"/>
              <w:rPr>
                <w:rFonts w:hint="eastAsia" w:ascii="宋体" w:hAnsi="宋体" w:eastAsia="宋体" w:cs="宋体"/>
                <w:sz w:val="18"/>
                <w:szCs w:val="18"/>
              </w:rPr>
            </w:pPr>
            <w:r>
              <w:rPr>
                <w:rFonts w:hint="eastAsia" w:ascii="宋体" w:hAnsi="宋体" w:eastAsia="宋体" w:cs="宋体"/>
                <w:sz w:val="18"/>
                <w:szCs w:val="18"/>
              </w:rPr>
              <w:t>市场供求理论：包括市场需求与供给的基本原理、均衡价格的决定等。</w:t>
            </w:r>
          </w:p>
          <w:p>
            <w:pPr>
              <w:jc w:val="both"/>
              <w:rPr>
                <w:rFonts w:hint="eastAsia" w:ascii="宋体" w:hAnsi="宋体" w:eastAsia="宋体" w:cs="宋体"/>
                <w:sz w:val="18"/>
                <w:szCs w:val="18"/>
              </w:rPr>
            </w:pPr>
            <w:r>
              <w:rPr>
                <w:rFonts w:hint="eastAsia" w:ascii="宋体" w:hAnsi="宋体" w:eastAsia="宋体" w:cs="宋体"/>
                <w:sz w:val="18"/>
                <w:szCs w:val="18"/>
              </w:rPr>
              <w:t>消费者行为理论：分析消费者的效用理论、边际效用理论等。</w:t>
            </w:r>
          </w:p>
          <w:p>
            <w:pPr>
              <w:jc w:val="both"/>
              <w:rPr>
                <w:rFonts w:hint="eastAsia" w:ascii="宋体" w:hAnsi="宋体" w:eastAsia="宋体" w:cs="宋体"/>
                <w:sz w:val="18"/>
                <w:szCs w:val="18"/>
              </w:rPr>
            </w:pPr>
            <w:r>
              <w:rPr>
                <w:rFonts w:hint="eastAsia" w:ascii="宋体" w:hAnsi="宋体" w:eastAsia="宋体" w:cs="宋体"/>
                <w:sz w:val="18"/>
                <w:szCs w:val="18"/>
              </w:rPr>
              <w:t>生产者行为理论：探讨生产函数、成本函数以及企业的决策行为。</w:t>
            </w:r>
          </w:p>
          <w:p>
            <w:pPr>
              <w:jc w:val="both"/>
              <w:rPr>
                <w:rFonts w:hint="eastAsia" w:ascii="宋体" w:hAnsi="宋体" w:eastAsia="宋体" w:cs="宋体"/>
                <w:sz w:val="18"/>
                <w:szCs w:val="18"/>
              </w:rPr>
            </w:pPr>
            <w:r>
              <w:rPr>
                <w:rFonts w:hint="eastAsia" w:ascii="宋体" w:hAnsi="宋体" w:eastAsia="宋体" w:cs="宋体"/>
                <w:sz w:val="18"/>
                <w:szCs w:val="18"/>
              </w:rPr>
              <w:t>市场结构与企业决策：分析不同市场结构下的企业行为和市场绩效。</w:t>
            </w:r>
          </w:p>
          <w:p>
            <w:pPr>
              <w:jc w:val="both"/>
              <w:rPr>
                <w:rFonts w:hint="eastAsia" w:ascii="宋体" w:hAnsi="宋体" w:eastAsia="宋体" w:cs="宋体"/>
                <w:sz w:val="18"/>
                <w:szCs w:val="18"/>
              </w:rPr>
            </w:pPr>
            <w:r>
              <w:rPr>
                <w:rFonts w:hint="eastAsia" w:ascii="宋体" w:hAnsi="宋体" w:eastAsia="宋体" w:cs="宋体"/>
                <w:sz w:val="18"/>
                <w:szCs w:val="18"/>
              </w:rPr>
              <w:t>宏观经济理论与政策：包括国民收入核算、经济增长与经济周期、失业与通货膨胀、财政政策与货币政策等。</w:t>
            </w:r>
          </w:p>
        </w:tc>
        <w:tc>
          <w:tcPr>
            <w:tcW w:w="1666" w:type="dxa"/>
            <w:vAlign w:val="top"/>
          </w:tcPr>
          <w:p>
            <w:pPr>
              <w:jc w:val="both"/>
              <w:rPr>
                <w:rFonts w:hint="eastAsia" w:ascii="宋体" w:hAnsi="宋体" w:eastAsia="宋体" w:cs="宋体"/>
                <w:bCs/>
                <w:sz w:val="18"/>
                <w:szCs w:val="18"/>
              </w:rPr>
            </w:pPr>
            <w:r>
              <w:rPr>
                <w:rFonts w:hint="eastAsia" w:ascii="宋体" w:hAnsi="宋体" w:eastAsia="宋体" w:cs="宋体"/>
                <w:bCs/>
                <w:sz w:val="18"/>
                <w:szCs w:val="18"/>
              </w:rPr>
              <w:t>学生应熟练掌握经济学的基本概念和基本理论。</w:t>
            </w:r>
          </w:p>
          <w:p>
            <w:pPr>
              <w:jc w:val="both"/>
              <w:rPr>
                <w:rFonts w:hint="eastAsia" w:ascii="宋体" w:hAnsi="宋体" w:eastAsia="宋体" w:cs="宋体"/>
                <w:bCs/>
                <w:sz w:val="18"/>
                <w:szCs w:val="18"/>
              </w:rPr>
            </w:pPr>
            <w:r>
              <w:rPr>
                <w:rFonts w:hint="eastAsia" w:ascii="宋体" w:hAnsi="宋体" w:eastAsia="宋体" w:cs="宋体"/>
                <w:bCs/>
                <w:sz w:val="18"/>
                <w:szCs w:val="18"/>
              </w:rPr>
              <w:t>能够运用需求、供给、消费者行为、生产者行为等理论分析简单的经济现象。</w:t>
            </w:r>
          </w:p>
          <w:p>
            <w:pPr>
              <w:jc w:val="both"/>
              <w:rPr>
                <w:rFonts w:hint="eastAsia" w:ascii="宋体" w:hAnsi="宋体" w:eastAsia="宋体" w:cs="宋体"/>
                <w:bCs/>
                <w:sz w:val="18"/>
                <w:szCs w:val="18"/>
              </w:rPr>
            </w:pPr>
            <w:r>
              <w:rPr>
                <w:rFonts w:hint="eastAsia" w:ascii="宋体" w:hAnsi="宋体" w:eastAsia="宋体" w:cs="宋体"/>
                <w:bCs/>
                <w:sz w:val="18"/>
                <w:szCs w:val="18"/>
              </w:rPr>
              <w:t>了解并熟悉宏观经济的主要变量及其衡量方法，以及宏观经济政策的制定和实施。https://www.icourse163.org/course/UESTC-1001709017?from=searchPage&amp;outVendor=zw_mooc_pcssjg_</w:t>
            </w:r>
          </w:p>
        </w:tc>
        <w:tc>
          <w:tcPr>
            <w:tcW w:w="1880" w:type="dxa"/>
            <w:vAlign w:val="top"/>
          </w:tcPr>
          <w:p>
            <w:pPr>
              <w:jc w:val="both"/>
              <w:rPr>
                <w:rFonts w:hint="eastAsia" w:ascii="宋体" w:hAnsi="宋体" w:eastAsia="宋体" w:cs="宋体"/>
                <w:bCs/>
                <w:color w:val="000000"/>
                <w:sz w:val="18"/>
                <w:szCs w:val="18"/>
              </w:rPr>
            </w:pPr>
            <w:r>
              <w:rPr>
                <w:rFonts w:hint="eastAsia" w:ascii="宋体" w:hAnsi="宋体" w:eastAsia="宋体" w:cs="宋体"/>
                <w:bCs/>
                <w:color w:val="000000"/>
                <w:sz w:val="18"/>
                <w:szCs w:val="18"/>
              </w:rPr>
              <w:t>培养理性思维：通过经济学的学习，培养学生的理性思维和分析能力，使其能够更好地理解社会经济现象，做出明智的决策。</w:t>
            </w:r>
          </w:p>
          <w:p>
            <w:pPr>
              <w:jc w:val="both"/>
              <w:rPr>
                <w:rFonts w:hint="eastAsia" w:ascii="宋体" w:hAnsi="宋体" w:eastAsia="宋体" w:cs="宋体"/>
                <w:bCs/>
                <w:color w:val="000000"/>
                <w:sz w:val="18"/>
                <w:szCs w:val="18"/>
              </w:rPr>
            </w:pPr>
            <w:r>
              <w:rPr>
                <w:rFonts w:hint="eastAsia" w:ascii="宋体" w:hAnsi="宋体" w:eastAsia="宋体" w:cs="宋体"/>
                <w:bCs/>
                <w:color w:val="000000"/>
                <w:sz w:val="18"/>
                <w:szCs w:val="18"/>
              </w:rPr>
              <w:t>加强社会责任感：在探讨经济问题时，强调社会责任和公平原则，引导学生关注社会公平与正义。</w:t>
            </w:r>
          </w:p>
          <w:p>
            <w:pPr>
              <w:jc w:val="both"/>
              <w:rPr>
                <w:rFonts w:hint="eastAsia" w:ascii="宋体" w:hAnsi="宋体" w:eastAsia="宋体" w:cs="宋体"/>
                <w:bCs/>
                <w:color w:val="000000"/>
                <w:sz w:val="18"/>
                <w:szCs w:val="18"/>
              </w:rPr>
            </w:pPr>
            <w:r>
              <w:rPr>
                <w:rFonts w:hint="eastAsia" w:ascii="宋体" w:hAnsi="宋体" w:eastAsia="宋体" w:cs="宋体"/>
                <w:bCs/>
                <w:color w:val="000000"/>
                <w:sz w:val="18"/>
                <w:szCs w:val="18"/>
              </w:rPr>
              <w:t>弘扬爱国主义精神：在介绍我国经济发展历程和成就时，激发学生的爱国情怀和民族自豪感。</w:t>
            </w:r>
          </w:p>
          <w:p>
            <w:pPr>
              <w:jc w:val="both"/>
              <w:rPr>
                <w:rFonts w:hint="eastAsia" w:ascii="宋体" w:hAnsi="宋体" w:eastAsia="宋体" w:cs="宋体"/>
                <w:bCs/>
                <w:color w:val="000000"/>
                <w:sz w:val="18"/>
                <w:szCs w:val="18"/>
              </w:rPr>
            </w:pPr>
            <w:r>
              <w:rPr>
                <w:rFonts w:hint="eastAsia" w:ascii="宋体" w:hAnsi="宋体" w:eastAsia="宋体" w:cs="宋体"/>
                <w:bCs/>
                <w:color w:val="000000"/>
                <w:sz w:val="18"/>
                <w:szCs w:val="18"/>
              </w:rPr>
              <w:t>培养诚信意识：通过案例分析等方式，强调诚信在市场经济中的重要性，引导学生树立诚信观念。</w:t>
            </w:r>
          </w:p>
          <w:p>
            <w:pPr>
              <w:jc w:val="both"/>
              <w:rPr>
                <w:rFonts w:hint="eastAsia" w:ascii="宋体" w:hAnsi="宋体" w:eastAsia="宋体" w:cs="宋体"/>
                <w:bCs/>
                <w:color w:val="000000"/>
                <w:sz w:val="18"/>
                <w:szCs w:val="18"/>
              </w:rPr>
            </w:pPr>
            <w:r>
              <w:rPr>
                <w:rFonts w:hint="eastAsia" w:ascii="宋体" w:hAnsi="宋体" w:eastAsia="宋体" w:cs="宋体"/>
                <w:bCs/>
                <w:color w:val="000000"/>
                <w:sz w:val="18"/>
                <w:szCs w:val="18"/>
              </w:rPr>
              <w:t>促进全面发展：鼓励学生将经济学知识与其他学科知识相结合，培养跨学科的综合素养和创新能力。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84" w:type="dxa"/>
            <w:vAlign w:val="center"/>
          </w:tcPr>
          <w:p>
            <w:pPr>
              <w:jc w:val="center"/>
              <w:rPr>
                <w:b/>
                <w:i/>
                <w:iCs/>
                <w:sz w:val="18"/>
                <w:szCs w:val="18"/>
              </w:rPr>
            </w:pPr>
            <w:r>
              <w:rPr>
                <w:b/>
                <w:i/>
                <w:iCs/>
                <w:sz w:val="18"/>
                <w:szCs w:val="18"/>
              </w:rPr>
              <w:t>5</w:t>
            </w:r>
          </w:p>
        </w:tc>
        <w:tc>
          <w:tcPr>
            <w:tcW w:w="1410" w:type="dxa"/>
            <w:vAlign w:val="center"/>
          </w:tcPr>
          <w:p>
            <w:pPr>
              <w:snapToGrid w:val="0"/>
              <w:ind w:left="-5" w:leftChars="0" w:firstLine="3" w:firstLineChars="2"/>
              <w:rPr>
                <w:i/>
                <w:iCs/>
                <w:sz w:val="18"/>
                <w:szCs w:val="18"/>
              </w:rPr>
            </w:pPr>
            <w:r>
              <w:rPr>
                <w:rFonts w:hint="eastAsia"/>
                <w:sz w:val="18"/>
                <w:szCs w:val="18"/>
                <w:lang w:eastAsia="zh-CN"/>
              </w:rPr>
              <w:t>基础会计</w:t>
            </w:r>
          </w:p>
        </w:tc>
        <w:tc>
          <w:tcPr>
            <w:tcW w:w="1574" w:type="dxa"/>
            <w:vAlign w:val="top"/>
          </w:tcPr>
          <w:p>
            <w:pPr>
              <w:jc w:val="both"/>
              <w:rPr>
                <w:rFonts w:hint="eastAsia" w:ascii="宋体" w:hAnsi="宋体" w:eastAsia="宋体" w:cs="宋体"/>
                <w:sz w:val="18"/>
                <w:szCs w:val="18"/>
              </w:rPr>
            </w:pPr>
            <w:r>
              <w:rPr>
                <w:rFonts w:hint="eastAsia" w:ascii="宋体" w:hAnsi="宋体" w:eastAsia="宋体" w:cs="宋体"/>
                <w:sz w:val="18"/>
                <w:szCs w:val="18"/>
              </w:rPr>
              <w:t>使学生树立会计循环体系和资金运动的流程，对会计基础知识体系有整体的把握。</w:t>
            </w:r>
          </w:p>
          <w:p>
            <w:pPr>
              <w:jc w:val="both"/>
              <w:rPr>
                <w:rFonts w:hint="eastAsia" w:ascii="宋体" w:hAnsi="宋体" w:eastAsia="宋体" w:cs="宋体"/>
                <w:sz w:val="18"/>
                <w:szCs w:val="18"/>
              </w:rPr>
            </w:pPr>
            <w:r>
              <w:rPr>
                <w:rFonts w:hint="eastAsia" w:ascii="宋体" w:hAnsi="宋体" w:eastAsia="宋体" w:cs="宋体"/>
                <w:sz w:val="18"/>
                <w:szCs w:val="18"/>
              </w:rPr>
              <w:t>培养学生运用会计核算方法的基本操作技能，使学生具备初步的会计核算的实操能力。</w:t>
            </w:r>
          </w:p>
          <w:p>
            <w:pPr>
              <w:jc w:val="both"/>
              <w:rPr>
                <w:rFonts w:hint="eastAsia" w:ascii="宋体" w:hAnsi="宋体" w:eastAsia="宋体" w:cs="宋体"/>
                <w:sz w:val="18"/>
                <w:szCs w:val="18"/>
              </w:rPr>
            </w:pPr>
            <w:r>
              <w:rPr>
                <w:rFonts w:hint="eastAsia" w:ascii="宋体" w:hAnsi="宋体" w:eastAsia="宋体" w:cs="宋体"/>
                <w:sz w:val="18"/>
                <w:szCs w:val="18"/>
              </w:rPr>
              <w:t>能够在企业及市场经济环境中树立会计意识，用会计的思维解决和探索实践中的经济问题。</w:t>
            </w:r>
          </w:p>
        </w:tc>
        <w:tc>
          <w:tcPr>
            <w:tcW w:w="1680" w:type="dxa"/>
            <w:vAlign w:val="top"/>
          </w:tcPr>
          <w:p>
            <w:pPr>
              <w:jc w:val="both"/>
              <w:rPr>
                <w:rFonts w:hint="eastAsia" w:ascii="宋体" w:hAnsi="宋体" w:eastAsia="宋体" w:cs="宋体"/>
                <w:sz w:val="18"/>
                <w:szCs w:val="18"/>
              </w:rPr>
            </w:pPr>
            <w:r>
              <w:rPr>
                <w:rFonts w:hint="eastAsia" w:ascii="宋体" w:hAnsi="宋体" w:eastAsia="宋体" w:cs="宋体"/>
                <w:sz w:val="18"/>
                <w:szCs w:val="18"/>
              </w:rPr>
              <w:t>会计基本概念、原则、方法和技能。</w:t>
            </w:r>
          </w:p>
          <w:p>
            <w:pPr>
              <w:jc w:val="both"/>
              <w:rPr>
                <w:rFonts w:hint="eastAsia" w:ascii="宋体" w:hAnsi="宋体" w:eastAsia="宋体" w:cs="宋体"/>
                <w:sz w:val="18"/>
                <w:szCs w:val="18"/>
              </w:rPr>
            </w:pPr>
            <w:r>
              <w:rPr>
                <w:rFonts w:hint="eastAsia" w:ascii="宋体" w:hAnsi="宋体" w:eastAsia="宋体" w:cs="宋体"/>
                <w:sz w:val="18"/>
                <w:szCs w:val="18"/>
              </w:rPr>
              <w:t>会计基本假设与会计信息质量要求。</w:t>
            </w:r>
          </w:p>
          <w:p>
            <w:pPr>
              <w:jc w:val="both"/>
              <w:rPr>
                <w:rFonts w:hint="eastAsia" w:ascii="宋体" w:hAnsi="宋体" w:eastAsia="宋体" w:cs="宋体"/>
                <w:sz w:val="18"/>
                <w:szCs w:val="18"/>
              </w:rPr>
            </w:pPr>
            <w:r>
              <w:rPr>
                <w:rFonts w:hint="eastAsia" w:ascii="宋体" w:hAnsi="宋体" w:eastAsia="宋体" w:cs="宋体"/>
                <w:sz w:val="18"/>
                <w:szCs w:val="18"/>
              </w:rPr>
              <w:t>会计要素与会计等式。</w:t>
            </w:r>
          </w:p>
          <w:p>
            <w:pPr>
              <w:jc w:val="both"/>
              <w:rPr>
                <w:rFonts w:hint="eastAsia" w:ascii="宋体" w:hAnsi="宋体" w:eastAsia="宋体" w:cs="宋体"/>
                <w:sz w:val="18"/>
                <w:szCs w:val="18"/>
              </w:rPr>
            </w:pPr>
            <w:r>
              <w:rPr>
                <w:rFonts w:hint="eastAsia" w:ascii="宋体" w:hAnsi="宋体" w:eastAsia="宋体" w:cs="宋体"/>
                <w:sz w:val="18"/>
                <w:szCs w:val="18"/>
              </w:rPr>
              <w:t>会计科目与账户。</w:t>
            </w:r>
          </w:p>
          <w:p>
            <w:pPr>
              <w:jc w:val="both"/>
              <w:rPr>
                <w:rFonts w:hint="eastAsia" w:ascii="宋体" w:hAnsi="宋体" w:eastAsia="宋体" w:cs="宋体"/>
                <w:sz w:val="18"/>
                <w:szCs w:val="18"/>
              </w:rPr>
            </w:pPr>
            <w:r>
              <w:rPr>
                <w:rFonts w:hint="eastAsia" w:ascii="宋体" w:hAnsi="宋体" w:eastAsia="宋体" w:cs="宋体"/>
                <w:sz w:val="18"/>
                <w:szCs w:val="18"/>
              </w:rPr>
              <w:t>复式记账法与借贷记账法。</w:t>
            </w:r>
          </w:p>
          <w:p>
            <w:pPr>
              <w:jc w:val="both"/>
              <w:rPr>
                <w:rFonts w:hint="eastAsia" w:ascii="宋体" w:hAnsi="宋体" w:eastAsia="宋体" w:cs="宋体"/>
                <w:sz w:val="18"/>
                <w:szCs w:val="18"/>
              </w:rPr>
            </w:pPr>
            <w:r>
              <w:rPr>
                <w:rFonts w:hint="eastAsia" w:ascii="宋体" w:hAnsi="宋体" w:eastAsia="宋体" w:cs="宋体"/>
                <w:sz w:val="18"/>
                <w:szCs w:val="18"/>
              </w:rPr>
              <w:t>填制与审核凭证。</w:t>
            </w:r>
          </w:p>
          <w:p>
            <w:pPr>
              <w:jc w:val="both"/>
              <w:rPr>
                <w:rFonts w:hint="eastAsia" w:ascii="宋体" w:hAnsi="宋体" w:eastAsia="宋体" w:cs="宋体"/>
                <w:sz w:val="18"/>
                <w:szCs w:val="18"/>
              </w:rPr>
            </w:pPr>
            <w:r>
              <w:rPr>
                <w:rFonts w:hint="eastAsia" w:ascii="宋体" w:hAnsi="宋体" w:eastAsia="宋体" w:cs="宋体"/>
                <w:sz w:val="18"/>
                <w:szCs w:val="18"/>
              </w:rPr>
              <w:t>登记账簿与财产清查。</w:t>
            </w:r>
          </w:p>
          <w:p>
            <w:pPr>
              <w:jc w:val="both"/>
              <w:rPr>
                <w:rFonts w:hint="eastAsia" w:ascii="宋体" w:hAnsi="宋体" w:eastAsia="宋体" w:cs="宋体"/>
                <w:sz w:val="18"/>
                <w:szCs w:val="18"/>
              </w:rPr>
            </w:pPr>
            <w:r>
              <w:rPr>
                <w:rFonts w:hint="eastAsia" w:ascii="宋体" w:hAnsi="宋体" w:eastAsia="宋体" w:cs="宋体"/>
                <w:sz w:val="18"/>
                <w:szCs w:val="18"/>
              </w:rPr>
              <w:t>财务报表与财务分析。</w:t>
            </w:r>
          </w:p>
        </w:tc>
        <w:tc>
          <w:tcPr>
            <w:tcW w:w="1666" w:type="dxa"/>
            <w:vAlign w:val="top"/>
          </w:tcPr>
          <w:p>
            <w:pPr>
              <w:jc w:val="both"/>
              <w:rPr>
                <w:rFonts w:hint="eastAsia" w:ascii="宋体" w:hAnsi="宋体" w:eastAsia="宋体" w:cs="宋体"/>
                <w:sz w:val="18"/>
                <w:szCs w:val="18"/>
              </w:rPr>
            </w:pPr>
            <w:r>
              <w:rPr>
                <w:rFonts w:hint="eastAsia" w:ascii="宋体" w:hAnsi="宋体" w:eastAsia="宋体" w:cs="宋体"/>
                <w:sz w:val="18"/>
                <w:szCs w:val="18"/>
              </w:rPr>
              <w:t>熟练掌握会计学的基本理论、基本方法和基本技能。</w:t>
            </w:r>
          </w:p>
          <w:p>
            <w:pPr>
              <w:jc w:val="both"/>
              <w:rPr>
                <w:rFonts w:hint="eastAsia" w:ascii="宋体" w:hAnsi="宋体" w:eastAsia="宋体" w:cs="宋体"/>
                <w:sz w:val="18"/>
                <w:szCs w:val="18"/>
              </w:rPr>
            </w:pPr>
            <w:r>
              <w:rPr>
                <w:rFonts w:hint="eastAsia" w:ascii="宋体" w:hAnsi="宋体" w:eastAsia="宋体" w:cs="宋体"/>
                <w:sz w:val="18"/>
                <w:szCs w:val="18"/>
              </w:rPr>
              <w:t>能够熟练运用基本会计核算方法进行会计处理。</w:t>
            </w:r>
          </w:p>
          <w:p>
            <w:pPr>
              <w:jc w:val="both"/>
              <w:rPr>
                <w:rFonts w:hint="eastAsia" w:ascii="宋体" w:hAnsi="宋体" w:eastAsia="宋体" w:cs="宋体"/>
                <w:sz w:val="18"/>
                <w:szCs w:val="18"/>
              </w:rPr>
            </w:pPr>
            <w:r>
              <w:rPr>
                <w:rFonts w:hint="eastAsia" w:ascii="宋体" w:hAnsi="宋体" w:eastAsia="宋体" w:cs="宋体"/>
                <w:sz w:val="18"/>
                <w:szCs w:val="18"/>
              </w:rPr>
              <w:t>具备一定的职业判断力、自主学习能力和沟通表达能力。https://www.icourse163.org/course/UESTC-1001709017?from=searchPage&amp;outVendor=zw_mooc_pcssjg_</w:t>
            </w:r>
          </w:p>
        </w:tc>
        <w:tc>
          <w:tcPr>
            <w:tcW w:w="1880" w:type="dxa"/>
            <w:vAlign w:val="top"/>
          </w:tcPr>
          <w:p>
            <w:pPr>
              <w:jc w:val="both"/>
              <w:rPr>
                <w:rFonts w:hint="eastAsia" w:ascii="宋体" w:hAnsi="宋体" w:eastAsia="宋体" w:cs="宋体"/>
                <w:sz w:val="18"/>
                <w:szCs w:val="18"/>
              </w:rPr>
            </w:pPr>
            <w:r>
              <w:rPr>
                <w:rFonts w:hint="eastAsia" w:ascii="宋体" w:hAnsi="宋体" w:eastAsia="宋体" w:cs="宋体"/>
                <w:sz w:val="18"/>
                <w:szCs w:val="18"/>
              </w:rPr>
              <w:t>诚信教育：强调诚信是会计行业的基石，通过案例分析等形式让学生了解不诚信行为的后果，培养其诚信意识。</w:t>
            </w:r>
          </w:p>
          <w:p>
            <w:pPr>
              <w:jc w:val="both"/>
              <w:rPr>
                <w:rFonts w:hint="eastAsia" w:ascii="宋体" w:hAnsi="宋体" w:eastAsia="宋体" w:cs="宋体"/>
                <w:spacing w:val="-6"/>
                <w:sz w:val="18"/>
                <w:szCs w:val="18"/>
              </w:rPr>
            </w:pPr>
            <w:r>
              <w:rPr>
                <w:rFonts w:hint="eastAsia" w:ascii="宋体" w:hAnsi="宋体" w:eastAsia="宋体" w:cs="宋体"/>
                <w:sz w:val="18"/>
                <w:szCs w:val="18"/>
              </w:rPr>
              <w:t>责任担当</w:t>
            </w:r>
            <w:r>
              <w:rPr>
                <w:rFonts w:hint="eastAsia" w:ascii="宋体" w:hAnsi="宋体" w:eastAsia="宋体" w:cs="宋体"/>
                <w:spacing w:val="-6"/>
                <w:sz w:val="18"/>
                <w:szCs w:val="18"/>
              </w:rPr>
              <w:t>：引导学生认识到会计人员在企业中的重要职责，培养其责任感和使命感。</w:t>
            </w:r>
          </w:p>
          <w:p>
            <w:pPr>
              <w:jc w:val="both"/>
              <w:rPr>
                <w:rFonts w:hint="eastAsia" w:ascii="宋体" w:hAnsi="宋体" w:eastAsia="宋体" w:cs="宋体"/>
                <w:sz w:val="18"/>
                <w:szCs w:val="18"/>
              </w:rPr>
            </w:pPr>
            <w:r>
              <w:rPr>
                <w:rFonts w:hint="eastAsia" w:ascii="宋体" w:hAnsi="宋体" w:eastAsia="宋体" w:cs="宋体"/>
                <w:sz w:val="18"/>
                <w:szCs w:val="18"/>
              </w:rPr>
              <w:t>团队协作：通过小组讨论、案例分析等方式培养学生的团队协作意识和能力。</w:t>
            </w:r>
          </w:p>
          <w:p>
            <w:pPr>
              <w:jc w:val="both"/>
              <w:rPr>
                <w:rFonts w:hint="eastAsia" w:ascii="宋体" w:hAnsi="宋体" w:eastAsia="宋体" w:cs="宋体"/>
                <w:sz w:val="18"/>
                <w:szCs w:val="18"/>
              </w:rPr>
            </w:pPr>
            <w:r>
              <w:rPr>
                <w:rFonts w:hint="eastAsia" w:ascii="宋体" w:hAnsi="宋体" w:eastAsia="宋体" w:cs="宋体"/>
                <w:sz w:val="18"/>
                <w:szCs w:val="18"/>
              </w:rPr>
              <w:t>遵纪守法：强调遵守会计法律法规的重要性，增强学生的法律意识。</w:t>
            </w:r>
          </w:p>
          <w:p>
            <w:pPr>
              <w:jc w:val="both"/>
              <w:rPr>
                <w:rFonts w:hint="eastAsia" w:ascii="宋体" w:hAnsi="宋体" w:eastAsia="宋体" w:cs="宋体"/>
                <w:sz w:val="18"/>
                <w:szCs w:val="18"/>
              </w:rPr>
            </w:pPr>
            <w:r>
              <w:rPr>
                <w:rFonts w:hint="eastAsia" w:ascii="宋体" w:hAnsi="宋体" w:eastAsia="宋体" w:cs="宋体"/>
                <w:sz w:val="18"/>
                <w:szCs w:val="18"/>
              </w:rPr>
              <w:t>创新创业：鼓励学生树立创新创业意识，了解创新创业对于个人发展的重要性。</w:t>
            </w:r>
          </w:p>
        </w:tc>
      </w:tr>
    </w:tbl>
    <w:p>
      <w:pPr>
        <w:snapToGrid w:val="0"/>
        <w:spacing w:line="560" w:lineRule="exact"/>
        <w:ind w:firstLine="562" w:firstLineChars="200"/>
        <w:rPr>
          <w:rFonts w:ascii="宋体" w:hAnsi="宋体"/>
          <w:b/>
          <w:sz w:val="28"/>
          <w:szCs w:val="28"/>
        </w:rPr>
      </w:pPr>
      <w:r>
        <w:rPr>
          <w:rFonts w:hint="eastAsia" w:ascii="宋体" w:hAnsi="宋体"/>
          <w:b/>
          <w:sz w:val="28"/>
          <w:szCs w:val="28"/>
        </w:rPr>
        <w:t>（四）专业核心课程</w:t>
      </w:r>
    </w:p>
    <w:p>
      <w:pPr>
        <w:keepNext w:val="0"/>
        <w:keepLines w:val="0"/>
        <w:pageBreakBefore w:val="0"/>
        <w:widowControl w:val="0"/>
        <w:kinsoku/>
        <w:wordWrap/>
        <w:overflowPunct/>
        <w:topLinePunct w:val="0"/>
        <w:autoSpaceDE/>
        <w:autoSpaceDN/>
        <w:bidi w:val="0"/>
        <w:adjustRightInd/>
        <w:snapToGrid/>
        <w:spacing w:before="156" w:beforeLines="50" w:line="240" w:lineRule="auto"/>
        <w:ind w:firstLine="0" w:firstLineChars="0"/>
        <w:jc w:val="center"/>
        <w:textAlignment w:val="auto"/>
        <w:outlineLvl w:val="9"/>
        <w:rPr>
          <w:rFonts w:hint="eastAsia"/>
          <w:b/>
          <w:sz w:val="18"/>
          <w:szCs w:val="18"/>
        </w:rPr>
      </w:pPr>
      <w:bookmarkStart w:id="10" w:name="_Toc18343"/>
      <w:r>
        <w:rPr>
          <w:rFonts w:hint="eastAsia"/>
          <w:b/>
          <w:sz w:val="18"/>
          <w:szCs w:val="18"/>
          <w:lang w:eastAsia="zh-CN"/>
        </w:rPr>
        <w:t>表</w:t>
      </w:r>
      <w:r>
        <w:rPr>
          <w:rFonts w:hint="eastAsia"/>
          <w:b/>
          <w:sz w:val="18"/>
          <w:szCs w:val="18"/>
          <w:lang w:val="en-US" w:eastAsia="zh-CN"/>
        </w:rPr>
        <w:t>6</w:t>
      </w:r>
      <w:r>
        <w:rPr>
          <w:rFonts w:hint="eastAsia"/>
          <w:b/>
          <w:sz w:val="18"/>
          <w:szCs w:val="18"/>
        </w:rPr>
        <w:t>现代物流管理专业核心课程表</w:t>
      </w:r>
      <w:bookmarkEnd w:id="10"/>
    </w:p>
    <w:tbl>
      <w:tblPr>
        <w:tblStyle w:val="10"/>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43"/>
        <w:gridCol w:w="1355"/>
        <w:gridCol w:w="1330"/>
        <w:gridCol w:w="1545"/>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blHeader/>
        </w:trPr>
        <w:tc>
          <w:tcPr>
            <w:tcW w:w="658"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b/>
                <w:sz w:val="18"/>
                <w:szCs w:val="18"/>
              </w:rPr>
            </w:pPr>
            <w:r>
              <w:rPr>
                <w:rFonts w:hint="eastAsia"/>
                <w:b/>
                <w:sz w:val="18"/>
                <w:szCs w:val="18"/>
              </w:rPr>
              <w:t>序号</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b/>
                <w:sz w:val="18"/>
                <w:szCs w:val="18"/>
              </w:rPr>
            </w:pPr>
            <w:r>
              <w:rPr>
                <w:rFonts w:hint="eastAsia"/>
                <w:b/>
                <w:sz w:val="18"/>
                <w:szCs w:val="18"/>
              </w:rPr>
              <w:t>课程名称</w:t>
            </w:r>
          </w:p>
        </w:tc>
        <w:tc>
          <w:tcPr>
            <w:tcW w:w="1355"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b/>
                <w:sz w:val="18"/>
                <w:szCs w:val="18"/>
              </w:rPr>
            </w:pPr>
            <w:r>
              <w:rPr>
                <w:rFonts w:hint="eastAsia"/>
                <w:b/>
                <w:sz w:val="18"/>
                <w:szCs w:val="18"/>
              </w:rPr>
              <w:t>课程目标</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b/>
                <w:sz w:val="18"/>
                <w:szCs w:val="18"/>
              </w:rPr>
            </w:pPr>
            <w:r>
              <w:rPr>
                <w:rFonts w:hint="eastAsia"/>
                <w:b/>
                <w:sz w:val="18"/>
                <w:szCs w:val="18"/>
              </w:rPr>
              <w:t>主要教学内容</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b/>
                <w:sz w:val="18"/>
                <w:szCs w:val="18"/>
              </w:rPr>
            </w:pPr>
            <w:r>
              <w:rPr>
                <w:rFonts w:hint="eastAsia"/>
                <w:b/>
                <w:sz w:val="18"/>
                <w:szCs w:val="18"/>
              </w:rPr>
              <w:t>主要教学</w:t>
            </w:r>
            <w:r>
              <w:rPr>
                <w:b/>
                <w:sz w:val="18"/>
                <w:szCs w:val="18"/>
              </w:rPr>
              <w:t>要求</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b/>
                <w:color w:val="000000"/>
                <w:sz w:val="18"/>
                <w:szCs w:val="18"/>
              </w:rPr>
            </w:pPr>
            <w:r>
              <w:rPr>
                <w:rFonts w:hint="eastAsia"/>
                <w:b/>
                <w:color w:val="000000"/>
                <w:sz w:val="18"/>
                <w:szCs w:val="18"/>
              </w:rPr>
              <w:t>课程思政育人</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b/>
                <w:color w:val="000000"/>
                <w:sz w:val="18"/>
                <w:szCs w:val="18"/>
              </w:rPr>
            </w:pPr>
            <w:r>
              <w:rPr>
                <w:rFonts w:hint="eastAsia" w:ascii="Times New Roman" w:hAnsi="Times New Roman"/>
                <w:b/>
                <w:sz w:val="18"/>
                <w:szCs w:val="18"/>
              </w:rPr>
              <w:t>赛证融通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b/>
                <w:sz w:val="18"/>
                <w:szCs w:val="18"/>
              </w:rPr>
            </w:pPr>
            <w:r>
              <w:rPr>
                <w:rFonts w:hint="eastAsia"/>
                <w:b/>
                <w:sz w:val="18"/>
                <w:szCs w:val="18"/>
              </w:rPr>
              <w:t>1</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sz w:val="18"/>
                <w:szCs w:val="18"/>
              </w:rPr>
            </w:pPr>
            <w:r>
              <w:rPr>
                <w:rFonts w:hint="eastAsia"/>
                <w:sz w:val="18"/>
                <w:szCs w:val="18"/>
              </w:rPr>
              <w:t>运输管理</w:t>
            </w:r>
          </w:p>
        </w:tc>
        <w:tc>
          <w:tcPr>
            <w:tcW w:w="1355"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z w:val="18"/>
                <w:szCs w:val="18"/>
              </w:rPr>
            </w:pPr>
            <w:r>
              <w:rPr>
                <w:rFonts w:hint="eastAsia"/>
                <w:sz w:val="18"/>
                <w:szCs w:val="18"/>
              </w:rPr>
              <w:t>通过课程学习，学生能了解运输市场的构成及基本特点，掌握不同运输方式的经济及技术特征，熟悉运输的设施和设备，初步培养进行运输决策的能力。</w:t>
            </w:r>
          </w:p>
        </w:tc>
        <w:tc>
          <w:tcPr>
            <w:tcW w:w="1330"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z w:val="18"/>
                <w:szCs w:val="18"/>
              </w:rPr>
            </w:pPr>
            <w:r>
              <w:rPr>
                <w:rFonts w:hint="eastAsia"/>
                <w:sz w:val="18"/>
                <w:szCs w:val="18"/>
              </w:rPr>
              <w:t>物流系统的构成要素，各种运输方式的技术经济特征，合理的运输组织及业务流程，甩挂运输，运输方式的选择，运输供应商的选择，运输路线的选择。</w:t>
            </w:r>
          </w:p>
        </w:tc>
        <w:tc>
          <w:tcPr>
            <w:tcW w:w="1545"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z w:val="18"/>
                <w:szCs w:val="18"/>
              </w:rPr>
            </w:pPr>
            <w:r>
              <w:rPr>
                <w:rFonts w:hint="eastAsia"/>
                <w:sz w:val="18"/>
                <w:szCs w:val="18"/>
              </w:rPr>
              <w:t>了解货物运输市场的基本特征，能根据货物性质进行运输方式、运输供应商、运输工具的选择，初步具备进行运输线路规划的能力。https://www.icourse163.org/course/WXIC-1462268161?from=searchPage&amp;outVendor=zw_mooc_pcssjg_</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bCs/>
                <w:color w:val="000000"/>
                <w:sz w:val="18"/>
                <w:szCs w:val="18"/>
              </w:rPr>
            </w:pPr>
            <w:r>
              <w:rPr>
                <w:rFonts w:hint="eastAsia"/>
                <w:bCs/>
                <w:color w:val="000000"/>
                <w:sz w:val="18"/>
                <w:szCs w:val="18"/>
              </w:rPr>
              <w:t>在内容育人方面，结合我国公路、铁路、航空和管道大</w:t>
            </w:r>
            <w:r>
              <w:rPr>
                <w:rFonts w:hint="eastAsia"/>
                <w:bCs/>
                <w:color w:val="000000"/>
                <w:sz w:val="18"/>
                <w:szCs w:val="18"/>
                <w:lang w:eastAsia="zh-CN"/>
              </w:rPr>
              <w:t>发</w:t>
            </w:r>
            <w:r>
              <w:rPr>
                <w:rFonts w:hint="eastAsia"/>
                <w:bCs/>
                <w:color w:val="000000"/>
                <w:sz w:val="18"/>
                <w:szCs w:val="18"/>
              </w:rPr>
              <w:t>展的现状，宣传国家在促进共同富裕、民族大团结上所做出的丰功伟绩；从银河号到北斗系统的成功组网等案例的运用激发学生的爱国情结和创新精神；在方法育人方面，通过团队合作学习法、案例教学法等，融入诚信意识、团队精神培养；在实践育人方面，借助各种实训操作，培养学生工匠精神。</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eastAsia="宋体"/>
                <w:bCs/>
                <w:color w:val="000000"/>
                <w:sz w:val="18"/>
                <w:szCs w:val="18"/>
                <w:lang w:eastAsia="zh-CN"/>
              </w:rPr>
            </w:pPr>
            <w:r>
              <w:rPr>
                <w:rFonts w:hint="eastAsia"/>
                <w:bCs/>
                <w:color w:val="000000"/>
                <w:sz w:val="18"/>
                <w:szCs w:val="18"/>
                <w:lang w:eastAsia="zh-CN"/>
              </w:rPr>
              <w:t>对接物流管理</w:t>
            </w:r>
            <w:r>
              <w:rPr>
                <w:rFonts w:hint="eastAsia"/>
                <w:bCs/>
                <w:color w:val="000000"/>
                <w:sz w:val="18"/>
                <w:szCs w:val="18"/>
                <w:lang w:val="en-US" w:eastAsia="zh-CN"/>
              </w:rPr>
              <w:t>1+X技能证书培训与考核、</w:t>
            </w:r>
            <w:r>
              <w:rPr>
                <w:rFonts w:hint="eastAsia"/>
                <w:bCs/>
                <w:color w:val="000000"/>
                <w:sz w:val="18"/>
                <w:szCs w:val="18"/>
                <w:lang w:eastAsia="zh-CN"/>
              </w:rPr>
              <w:t>江苏省智慧物流技能大赛中运输部分内容，节约里程法，运输线路规划。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b/>
                <w:sz w:val="18"/>
                <w:szCs w:val="18"/>
              </w:rPr>
            </w:pPr>
            <w:r>
              <w:rPr>
                <w:rFonts w:hint="eastAsia"/>
                <w:b/>
                <w:sz w:val="18"/>
                <w:szCs w:val="18"/>
              </w:rPr>
              <w:t>2</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sz w:val="18"/>
                <w:szCs w:val="18"/>
              </w:rPr>
            </w:pPr>
            <w:r>
              <w:rPr>
                <w:rFonts w:hint="eastAsia"/>
                <w:sz w:val="18"/>
                <w:szCs w:val="18"/>
              </w:rPr>
              <w:t>仓储与配送管理</w:t>
            </w:r>
          </w:p>
        </w:tc>
        <w:tc>
          <w:tcPr>
            <w:tcW w:w="1355"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z w:val="18"/>
                <w:szCs w:val="18"/>
              </w:rPr>
            </w:pPr>
            <w:r>
              <w:rPr>
                <w:rFonts w:hint="eastAsia"/>
                <w:sz w:val="18"/>
                <w:szCs w:val="18"/>
              </w:rPr>
              <w:t>通过本课程的学习，学生能掌握仓储和配送作业管理的基本知识与基本技能，具备利用现代化工具设备及信息技术熟练进行入库验收、码垛、上架、堆存、盘点、分拣、出库等基本作业能力，并能对仓储与配送作业进行合理规划与安排，使学生成为具有可持续发展能力的技术技能型物流专门人才。</w:t>
            </w:r>
          </w:p>
        </w:tc>
        <w:tc>
          <w:tcPr>
            <w:tcW w:w="1330"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sz w:val="18"/>
                <w:szCs w:val="18"/>
              </w:rPr>
            </w:pPr>
            <w:r>
              <w:rPr>
                <w:rFonts w:hint="eastAsia"/>
                <w:sz w:val="18"/>
                <w:szCs w:val="18"/>
              </w:rPr>
              <w:t>仓库的功能、分类、设备、结构及布局；</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z w:val="18"/>
                <w:szCs w:val="18"/>
              </w:rPr>
            </w:pPr>
            <w:r>
              <w:rPr>
                <w:rFonts w:hint="eastAsia"/>
                <w:sz w:val="18"/>
                <w:szCs w:val="18"/>
              </w:rPr>
              <w:t>仓库布局规划及货位编码的原则及方法；仓库选址的思路、原则及基本方法；仓储合同及仓单的功能、类型及内容；商品入库、在库及出库业务流程；主要设备和工具的使用方法及操作要求；配送中心的分类、基本功能及业务流程；仓库安全管理的有关技术及方法；配送线路优化的方法及步骤；配送车辆调度的方法及步骤。</w:t>
            </w:r>
          </w:p>
        </w:tc>
        <w:tc>
          <w:tcPr>
            <w:tcW w:w="1545"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pacing w:val="-6"/>
                <w:sz w:val="18"/>
                <w:szCs w:val="18"/>
              </w:rPr>
            </w:pPr>
            <w:r>
              <w:rPr>
                <w:rFonts w:hint="eastAsia"/>
                <w:spacing w:val="-6"/>
                <w:sz w:val="18"/>
                <w:szCs w:val="18"/>
              </w:rPr>
              <w:t>理解与掌握仓储与配送管理中仓库规划设计和配送中心运营作业处理两个方面的基本知识，能利用工具设备及现代化信息技术熟练进行入库验收、码垛、上架、堆存、盘点、分拣、出库等基本作业，具备仓库规划设计以及配送中心基本作业能力。同时通过项目化课程的学习与实践，培养学生提出问题、分析问题、解决问题的能力。https://www.icourse163.org/course/NTVU-1206699816?from=searchPage&amp;outVendor=zw_mooc_pcssjg_</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z w:val="18"/>
                <w:szCs w:val="18"/>
              </w:rPr>
            </w:pPr>
            <w:r>
              <w:rPr>
                <w:rFonts w:hint="eastAsia"/>
                <w:bCs/>
                <w:color w:val="000000"/>
                <w:sz w:val="18"/>
                <w:szCs w:val="18"/>
              </w:rPr>
              <w:t>在内容育人方面，结合仓储合同等内容培养学生契约精神和法律意识，在设施与设备的配备部分建立大国自信，培养爱国情怀；在方法育人方面，通过案例分析、角色扮演、分组讨论等，培养学生</w:t>
            </w:r>
            <w:r>
              <w:rPr>
                <w:rFonts w:hint="eastAsia"/>
                <w:sz w:val="18"/>
                <w:szCs w:val="18"/>
              </w:rPr>
              <w:t>诚实、守信、善于沟通和合作的团队意识，及其环保、节能的安全意识；</w:t>
            </w:r>
            <w:r>
              <w:rPr>
                <w:rFonts w:hint="eastAsia"/>
                <w:bCs/>
                <w:color w:val="000000"/>
                <w:sz w:val="18"/>
                <w:szCs w:val="18"/>
              </w:rPr>
              <w:t>在实践育人方面，借助多种形式的实训操作，培养学生爱岗敬业的良好职业素养和工匠精神。</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eastAsia="宋体"/>
                <w:bCs/>
                <w:color w:val="000000"/>
                <w:sz w:val="18"/>
                <w:szCs w:val="18"/>
                <w:lang w:eastAsia="zh-CN"/>
              </w:rPr>
            </w:pPr>
            <w:r>
              <w:rPr>
                <w:rFonts w:hint="eastAsia"/>
                <w:bCs/>
                <w:color w:val="000000"/>
                <w:sz w:val="18"/>
                <w:szCs w:val="18"/>
                <w:lang w:eastAsia="zh-CN"/>
              </w:rPr>
              <w:t>对接物流管理</w:t>
            </w:r>
            <w:r>
              <w:rPr>
                <w:rFonts w:hint="eastAsia"/>
                <w:bCs/>
                <w:color w:val="000000"/>
                <w:sz w:val="18"/>
                <w:szCs w:val="18"/>
                <w:lang w:val="en-US" w:eastAsia="zh-CN"/>
              </w:rPr>
              <w:t>1+X技能证书培训与考核、</w:t>
            </w:r>
            <w:r>
              <w:rPr>
                <w:rFonts w:hint="eastAsia"/>
                <w:bCs/>
                <w:color w:val="000000"/>
                <w:sz w:val="18"/>
                <w:szCs w:val="18"/>
                <w:lang w:eastAsia="zh-CN"/>
              </w:rPr>
              <w:t>江苏省智慧物流技能大赛中仓储与配送部分内容，货物出入库，仓内功能划分与布局等。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b/>
                <w:sz w:val="18"/>
                <w:szCs w:val="18"/>
              </w:rPr>
            </w:pPr>
            <w:r>
              <w:rPr>
                <w:rFonts w:hint="eastAsia"/>
                <w:b/>
                <w:sz w:val="18"/>
                <w:szCs w:val="18"/>
              </w:rPr>
              <w:t>3</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sz w:val="18"/>
                <w:szCs w:val="18"/>
              </w:rPr>
            </w:pPr>
            <w:r>
              <w:rPr>
                <w:rFonts w:hint="eastAsia"/>
                <w:sz w:val="18"/>
                <w:szCs w:val="18"/>
              </w:rPr>
              <w:t>物流成本管理</w:t>
            </w:r>
          </w:p>
        </w:tc>
        <w:tc>
          <w:tcPr>
            <w:tcW w:w="1355"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z w:val="18"/>
                <w:szCs w:val="18"/>
              </w:rPr>
            </w:pPr>
            <w:r>
              <w:rPr>
                <w:rFonts w:hint="eastAsia"/>
                <w:sz w:val="18"/>
                <w:szCs w:val="18"/>
              </w:rPr>
              <w:t>通过课程学习，学生能掌握采购成本、运输成本、仓储成本、包装成本、装卸成本、配送成本、流通加工成本的项目及其构成，具备物流成本的计算、分析与管理能力，增强学生的成本意识，学会以成本为手段去管理物流，不断改善与提高所在企业经济效益。</w:t>
            </w:r>
          </w:p>
        </w:tc>
        <w:tc>
          <w:tcPr>
            <w:tcW w:w="1330"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z w:val="18"/>
                <w:szCs w:val="18"/>
              </w:rPr>
            </w:pPr>
            <w:r>
              <w:rPr>
                <w:rFonts w:hint="eastAsia"/>
                <w:sz w:val="18"/>
                <w:szCs w:val="18"/>
              </w:rPr>
              <w:t>物流成本及其管理；物流成本归集核算；物流成本分析与控制；物流成本预测与预算；采购成本管理；运输成本管理；仓储成本管理；包装成本管理；配送成本管理；装卸搬运成本管理；流通加工成本管理；物流成本绩效评价。</w:t>
            </w:r>
          </w:p>
        </w:tc>
        <w:tc>
          <w:tcPr>
            <w:tcW w:w="1545"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z w:val="18"/>
                <w:szCs w:val="18"/>
              </w:rPr>
            </w:pPr>
            <w:r>
              <w:rPr>
                <w:rFonts w:hint="eastAsia"/>
                <w:bCs/>
                <w:sz w:val="18"/>
                <w:szCs w:val="18"/>
              </w:rPr>
              <w:t>采取项目教学法、案例分析法、启发式教学法、对比分析法等教学方法，引导学生确立并增强成本核算与管理意识，熟悉各物流功能环节物流成本主要项目与构成，掌握物流成本核算、分析、控制等基本方法，具备物流成本的分析与控制能力。https://www.icourse163.org/course/JXVC-1206991803?from=searchPage&amp;outVendor=zw_mooc_pcssjg_</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bCs/>
                <w:color w:val="000000"/>
                <w:sz w:val="18"/>
                <w:szCs w:val="18"/>
              </w:rPr>
            </w:pPr>
            <w:r>
              <w:rPr>
                <w:rFonts w:hint="eastAsia"/>
                <w:bCs/>
                <w:color w:val="000000"/>
                <w:sz w:val="18"/>
                <w:szCs w:val="18"/>
              </w:rPr>
              <w:t>在内容育人方面，结合物流成本核算、分析与控制等课程内容培养学生成本节约意识、艰苦奋斗精神，遵守企业成本管理制度，按规则办事；在方法育人方面，通过团队合作学习法、案例教学法等，融入诚信意识、团队精神培养；在实践育人方面，借助各种实际物流成本管理案例或相关解析题目，培养学生发现问题、分析问题、解决问题能力及工匠精神。</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bCs/>
                <w:color w:val="000000"/>
                <w:sz w:val="18"/>
                <w:szCs w:val="18"/>
              </w:rPr>
            </w:pPr>
            <w:r>
              <w:rPr>
                <w:rFonts w:hint="eastAsia"/>
                <w:bCs/>
                <w:color w:val="000000"/>
                <w:sz w:val="18"/>
                <w:szCs w:val="18"/>
                <w:lang w:eastAsia="zh-CN"/>
              </w:rPr>
              <w:t>对接物流管理</w:t>
            </w:r>
            <w:r>
              <w:rPr>
                <w:rFonts w:hint="eastAsia"/>
                <w:bCs/>
                <w:color w:val="000000"/>
                <w:sz w:val="18"/>
                <w:szCs w:val="18"/>
                <w:lang w:val="en-US" w:eastAsia="zh-CN"/>
              </w:rPr>
              <w:t>1+X技能证书培训与考核、</w:t>
            </w:r>
            <w:r>
              <w:rPr>
                <w:rFonts w:hint="eastAsia"/>
                <w:bCs/>
                <w:color w:val="000000"/>
                <w:sz w:val="18"/>
                <w:szCs w:val="18"/>
                <w:lang w:eastAsia="zh-CN"/>
              </w:rPr>
              <w:t>江苏省智慧物流技能大赛中物流成本管理部分内容，方案设计与选择时的经济性评价、作业成本法的应用等。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b/>
                <w:sz w:val="18"/>
                <w:szCs w:val="18"/>
              </w:rPr>
            </w:pPr>
            <w:r>
              <w:rPr>
                <w:rFonts w:hint="eastAsia"/>
                <w:b/>
                <w:sz w:val="18"/>
                <w:szCs w:val="18"/>
              </w:rPr>
              <w:t>4</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sz w:val="18"/>
                <w:szCs w:val="18"/>
              </w:rPr>
            </w:pPr>
            <w:r>
              <w:rPr>
                <w:rFonts w:hint="eastAsia"/>
                <w:sz w:val="18"/>
                <w:szCs w:val="18"/>
              </w:rPr>
              <w:t>采购与供应链管理</w:t>
            </w:r>
          </w:p>
        </w:tc>
        <w:tc>
          <w:tcPr>
            <w:tcW w:w="1355"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z w:val="18"/>
                <w:szCs w:val="18"/>
              </w:rPr>
            </w:pPr>
            <w:r>
              <w:rPr>
                <w:rFonts w:hint="eastAsia"/>
                <w:sz w:val="18"/>
                <w:szCs w:val="18"/>
              </w:rPr>
              <w:t>通过本课程学习，学生能掌握供应链管理相关基础知识，培养学生的职业技能与职业素质，</w:t>
            </w:r>
            <w:r>
              <w:rPr>
                <w:sz w:val="18"/>
                <w:szCs w:val="18"/>
              </w:rPr>
              <w:t>为从事</w:t>
            </w:r>
            <w:r>
              <w:rPr>
                <w:rFonts w:hint="eastAsia"/>
                <w:sz w:val="18"/>
                <w:szCs w:val="18"/>
              </w:rPr>
              <w:t>供应链管理、物流管理等相关</w:t>
            </w:r>
            <w:r>
              <w:rPr>
                <w:sz w:val="18"/>
                <w:szCs w:val="18"/>
              </w:rPr>
              <w:t>工作岗位奠定扎实基础</w:t>
            </w:r>
            <w:r>
              <w:rPr>
                <w:rFonts w:hint="eastAsia"/>
                <w:sz w:val="18"/>
                <w:szCs w:val="18"/>
              </w:rPr>
              <w:t>，</w:t>
            </w:r>
            <w:r>
              <w:rPr>
                <w:rFonts w:hint="eastAsia"/>
                <w:color w:val="000000"/>
                <w:sz w:val="18"/>
                <w:szCs w:val="18"/>
              </w:rPr>
              <w:t>着眼于培养有供应链思想的应用型人才，</w:t>
            </w:r>
            <w:r>
              <w:rPr>
                <w:sz w:val="18"/>
                <w:szCs w:val="18"/>
              </w:rPr>
              <w:t>提高学生的岗位适应性</w:t>
            </w:r>
            <w:r>
              <w:rPr>
                <w:rFonts w:hint="eastAsia"/>
                <w:sz w:val="18"/>
                <w:szCs w:val="18"/>
              </w:rPr>
              <w:t>。</w:t>
            </w:r>
          </w:p>
        </w:tc>
        <w:tc>
          <w:tcPr>
            <w:tcW w:w="1330"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z w:val="18"/>
                <w:szCs w:val="18"/>
              </w:rPr>
            </w:pPr>
            <w:r>
              <w:rPr>
                <w:rFonts w:hint="eastAsia"/>
                <w:sz w:val="18"/>
                <w:szCs w:val="18"/>
              </w:rPr>
              <w:t>通过本课程的学习，使学生掌握供应链管理的基本理论；理解供应链体系的结构模型及其设计原则和设计策略；掌握供应链合作伙伴关系管理方法；了解供应链管理的信息技术支撑体系；掌握供应链管理环境下的生产计划与控制，库存控制，采购管理的具体特点与策略；掌握供应链绩效考</w:t>
            </w:r>
            <w:r>
              <w:rPr>
                <w:rFonts w:hint="eastAsia"/>
                <w:spacing w:val="-6"/>
                <w:sz w:val="18"/>
                <w:szCs w:val="18"/>
              </w:rPr>
              <w:t>评的特点和指标体系、激励机制等；了解供应链管理环境下的组织结构与企业业务</w:t>
            </w:r>
            <w:r>
              <w:rPr>
                <w:rFonts w:hint="eastAsia"/>
                <w:sz w:val="18"/>
                <w:szCs w:val="18"/>
              </w:rPr>
              <w:t>流程重组等。</w:t>
            </w:r>
          </w:p>
        </w:tc>
        <w:tc>
          <w:tcPr>
            <w:tcW w:w="1545"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bCs/>
                <w:sz w:val="18"/>
                <w:szCs w:val="18"/>
              </w:rPr>
            </w:pPr>
            <w:r>
              <w:rPr>
                <w:rFonts w:hint="eastAsia"/>
                <w:bCs/>
                <w:sz w:val="18"/>
                <w:szCs w:val="18"/>
              </w:rPr>
              <w:t>采取项目教学，融入《物流师国家职业标准》，通过案例分析法、类比分析法、启发性教学等方法，增强学生分析实际问题、解决实际问题能力，培养具备供应链管理思想、团队协作、勇于探索、勇于创新的应用型人才。https://www.icourse163.org/course/WHJZY-1003486003?%20appId=null&amp;outVendor=zw_mooc_pcsslx_</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bCs/>
                <w:color w:val="000000"/>
                <w:sz w:val="18"/>
                <w:szCs w:val="18"/>
              </w:rPr>
            </w:pPr>
            <w:r>
              <w:rPr>
                <w:rFonts w:hint="eastAsia"/>
                <w:bCs/>
                <w:color w:val="000000"/>
                <w:sz w:val="18"/>
                <w:szCs w:val="18"/>
              </w:rPr>
              <w:t>在内容育人方面，结合供应链管理及各分模块等课程内容，培养学生团队合作、诚信守法、爱岗敬业等精神；在方法育人方面，通过案例教学法、社会热点（疫情、中美贸易战等）切入教学法、类比分析法等培养学生爱国意识，合作共赢意识，不断探索、追求突破、勇于创新等工匠精神；在实践育人方面，借助多种形式的实践任务，继续强化培养学生爱国、敬业、诚信、团队协作、自我学习、勇于探索、勇于革新、坚持到底等精神的培养。</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bCs/>
                <w:color w:val="000000"/>
                <w:sz w:val="18"/>
                <w:szCs w:val="18"/>
              </w:rPr>
            </w:pPr>
            <w:r>
              <w:rPr>
                <w:rFonts w:hint="eastAsia"/>
                <w:bCs/>
                <w:color w:val="000000"/>
                <w:sz w:val="18"/>
                <w:szCs w:val="18"/>
                <w:lang w:eastAsia="zh-CN"/>
              </w:rPr>
              <w:t>对接物流管理</w:t>
            </w:r>
            <w:r>
              <w:rPr>
                <w:rFonts w:hint="eastAsia"/>
                <w:bCs/>
                <w:color w:val="000000"/>
                <w:sz w:val="18"/>
                <w:szCs w:val="18"/>
                <w:lang w:val="en-US" w:eastAsia="zh-CN"/>
              </w:rPr>
              <w:t>1+X技能证书培训与考核、</w:t>
            </w:r>
            <w:r>
              <w:rPr>
                <w:rFonts w:hint="eastAsia"/>
                <w:bCs/>
                <w:color w:val="000000"/>
                <w:sz w:val="18"/>
                <w:szCs w:val="18"/>
                <w:lang w:eastAsia="zh-CN"/>
              </w:rPr>
              <w:t>江苏省智慧物流技能大赛中采购供应部分内容，供应商开发、合作、评价与选择等。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b/>
                <w:sz w:val="18"/>
                <w:szCs w:val="18"/>
              </w:rPr>
            </w:pPr>
            <w:r>
              <w:rPr>
                <w:b/>
                <w:i/>
                <w:iCs/>
                <w:sz w:val="18"/>
                <w:szCs w:val="18"/>
              </w:rPr>
              <w:t>5</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b w:val="0"/>
                <w:bCs w:val="0"/>
                <w:sz w:val="18"/>
                <w:szCs w:val="18"/>
              </w:rPr>
            </w:pPr>
            <w:r>
              <w:rPr>
                <w:rFonts w:hint="eastAsia"/>
                <w:b w:val="0"/>
                <w:bCs w:val="0"/>
                <w:sz w:val="18"/>
                <w:szCs w:val="18"/>
              </w:rPr>
              <w:t>国际物流与货</w:t>
            </w:r>
          </w:p>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sz w:val="18"/>
                <w:szCs w:val="18"/>
              </w:rPr>
            </w:pPr>
            <w:r>
              <w:rPr>
                <w:rFonts w:hint="eastAsia"/>
                <w:b w:val="0"/>
                <w:bCs w:val="0"/>
                <w:sz w:val="18"/>
                <w:szCs w:val="18"/>
              </w:rPr>
              <w:t>运代理</w:t>
            </w:r>
          </w:p>
        </w:tc>
        <w:tc>
          <w:tcPr>
            <w:tcW w:w="1355"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z w:val="18"/>
                <w:szCs w:val="18"/>
              </w:rPr>
            </w:pPr>
            <w:r>
              <w:rPr>
                <w:rFonts w:hint="eastAsia"/>
                <w:sz w:val="18"/>
                <w:szCs w:val="18"/>
              </w:rPr>
              <w:t>通过本课程学习，学生能掌握国际货运代理知识，培养学生的职业技能与职业素质，</w:t>
            </w:r>
            <w:r>
              <w:rPr>
                <w:sz w:val="18"/>
                <w:szCs w:val="18"/>
              </w:rPr>
              <w:t>为从事</w:t>
            </w:r>
            <w:r>
              <w:rPr>
                <w:rFonts w:hint="eastAsia"/>
                <w:sz w:val="18"/>
                <w:szCs w:val="18"/>
              </w:rPr>
              <w:t>国际物流货运代理等相关</w:t>
            </w:r>
            <w:r>
              <w:rPr>
                <w:sz w:val="18"/>
                <w:szCs w:val="18"/>
              </w:rPr>
              <w:t>工作岗位奠定扎实基础</w:t>
            </w:r>
            <w:r>
              <w:rPr>
                <w:rFonts w:hint="eastAsia"/>
                <w:sz w:val="18"/>
                <w:szCs w:val="18"/>
              </w:rPr>
              <w:t>，着眼于培养熟练应用货运代理支持服务国际物流的应用型人才，</w:t>
            </w:r>
            <w:r>
              <w:rPr>
                <w:sz w:val="18"/>
                <w:szCs w:val="18"/>
              </w:rPr>
              <w:t>提高学生的岗位适应性</w:t>
            </w:r>
            <w:r>
              <w:rPr>
                <w:rFonts w:hint="eastAsia"/>
                <w:sz w:val="18"/>
                <w:szCs w:val="18"/>
              </w:rPr>
              <w:t>。</w:t>
            </w:r>
          </w:p>
        </w:tc>
        <w:tc>
          <w:tcPr>
            <w:tcW w:w="1330"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z w:val="18"/>
                <w:szCs w:val="18"/>
              </w:rPr>
            </w:pPr>
            <w:r>
              <w:rPr>
                <w:rFonts w:hint="eastAsia"/>
                <w:sz w:val="18"/>
                <w:szCs w:val="18"/>
              </w:rPr>
              <w:t>通过本课程的学习，使学生掌握国际货运代理的基本知识，国际海运货运代理、国际空运货运代理、国际铁路货运代理等系统知识，业务流程等。</w:t>
            </w:r>
          </w:p>
        </w:tc>
        <w:tc>
          <w:tcPr>
            <w:tcW w:w="1545"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bCs/>
                <w:sz w:val="18"/>
                <w:szCs w:val="18"/>
              </w:rPr>
            </w:pPr>
            <w:r>
              <w:rPr>
                <w:rFonts w:hint="eastAsia"/>
                <w:sz w:val="18"/>
                <w:szCs w:val="18"/>
              </w:rPr>
              <w:t>本课程以按照应用能力和综合素质为主线，理论教学以应用为目的、理论教学与实践教学相配套的思路，根据工作岗位的需要来选择教学内容，注重知识的更新，使学生能学到最适合时代发展的</w:t>
            </w:r>
            <w:r>
              <w:rPr>
                <w:rFonts w:hint="eastAsia"/>
                <w:sz w:val="18"/>
                <w:szCs w:val="18"/>
                <w:lang w:eastAsia="zh-CN"/>
              </w:rPr>
              <w:t>国际物流及货运代理业务知识</w:t>
            </w:r>
            <w:r>
              <w:rPr>
                <w:rFonts w:hint="eastAsia"/>
                <w:sz w:val="18"/>
                <w:szCs w:val="18"/>
              </w:rPr>
              <w:t>，培养学生的职业素养和创新能力。https://www.icours</w:t>
            </w:r>
            <w:r>
              <w:rPr>
                <w:rFonts w:hint="eastAsia"/>
                <w:spacing w:val="-6"/>
                <w:sz w:val="18"/>
                <w:szCs w:val="18"/>
              </w:rPr>
              <w:t>e163.org/course/SHSIPO-1003535097?from=searchPa</w:t>
            </w:r>
            <w:r>
              <w:rPr>
                <w:rFonts w:hint="eastAsia"/>
                <w:sz w:val="18"/>
                <w:szCs w:val="18"/>
              </w:rPr>
              <w:t>ge&amp;outVendor=zw_mooc_pcssjg_</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bCs/>
                <w:color w:val="000000"/>
                <w:sz w:val="18"/>
                <w:szCs w:val="18"/>
              </w:rPr>
            </w:pPr>
            <w:r>
              <w:rPr>
                <w:rFonts w:hint="eastAsia"/>
                <w:sz w:val="18"/>
                <w:szCs w:val="18"/>
              </w:rPr>
              <w:t>在内容育人方面，结合国际物流及货运代理等课程内容，培养学生诚信守法、爱岗敬业等精神；在方法育人方面，通过案例教学法、示范演示法等培养学生自我学习、勤于思考，勇于创新等精神；在实践育人方面，借助多种形式的实践任务，继续强化培养学生团队协作、自我学习、勇于实践、勇于创新等精神的培养。</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z w:val="18"/>
                <w:szCs w:val="18"/>
              </w:rPr>
            </w:pPr>
            <w:r>
              <w:rPr>
                <w:rFonts w:hint="eastAsia"/>
                <w:bCs/>
                <w:color w:val="000000"/>
                <w:sz w:val="18"/>
                <w:szCs w:val="18"/>
                <w:lang w:eastAsia="zh-CN"/>
              </w:rPr>
              <w:t>对接物流管理</w:t>
            </w:r>
            <w:r>
              <w:rPr>
                <w:rFonts w:hint="eastAsia"/>
                <w:bCs/>
                <w:color w:val="000000"/>
                <w:sz w:val="18"/>
                <w:szCs w:val="18"/>
                <w:lang w:val="en-US" w:eastAsia="zh-CN"/>
              </w:rPr>
              <w:t>1+X技能证书培训与考核、</w:t>
            </w:r>
            <w:r>
              <w:rPr>
                <w:rFonts w:hint="eastAsia"/>
                <w:bCs/>
                <w:color w:val="000000"/>
                <w:sz w:val="18"/>
                <w:szCs w:val="18"/>
                <w:lang w:eastAsia="zh-CN"/>
              </w:rPr>
              <w:t>江苏省智慧物流技能大赛中国际货代部分内容，多式联运、国际海运、航空、陆路物流等。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b/>
                <w:sz w:val="18"/>
                <w:szCs w:val="18"/>
              </w:rPr>
            </w:pPr>
            <w:r>
              <w:rPr>
                <w:b/>
                <w:sz w:val="18"/>
                <w:szCs w:val="18"/>
              </w:rPr>
              <w:t>6</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sz w:val="18"/>
                <w:szCs w:val="18"/>
              </w:rPr>
            </w:pPr>
            <w:r>
              <w:rPr>
                <w:rFonts w:hint="eastAsia"/>
                <w:color w:val="000000"/>
                <w:sz w:val="18"/>
                <w:szCs w:val="18"/>
              </w:rPr>
              <w:t>物流营销</w:t>
            </w:r>
          </w:p>
        </w:tc>
        <w:tc>
          <w:tcPr>
            <w:tcW w:w="1355"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z w:val="18"/>
                <w:szCs w:val="18"/>
              </w:rPr>
            </w:pPr>
            <w:r>
              <w:rPr>
                <w:rFonts w:hint="eastAsia"/>
                <w:color w:val="000000"/>
                <w:sz w:val="18"/>
                <w:szCs w:val="18"/>
              </w:rPr>
              <w:t>通过本课程的学习，学生能掌握物流市场细分、正确选择物流目标市场、制定物流营销策略和营销战略方案等方面知识与实战技能，确立以货主为中心的理念，结合企业实际开展物流销售活动，满足物流企业开拓物流市场、服务客户、提升经营效益的需要</w:t>
            </w:r>
            <w:r>
              <w:rPr>
                <w:color w:val="000000"/>
                <w:sz w:val="18"/>
                <w:szCs w:val="18"/>
              </w:rPr>
              <w:t>。</w:t>
            </w:r>
          </w:p>
        </w:tc>
        <w:tc>
          <w:tcPr>
            <w:tcW w:w="1330"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color w:val="000000"/>
                <w:sz w:val="18"/>
                <w:szCs w:val="18"/>
              </w:rPr>
            </w:pPr>
            <w:r>
              <w:rPr>
                <w:color w:val="000000"/>
                <w:sz w:val="18"/>
                <w:szCs w:val="18"/>
              </w:rPr>
              <w:t>现代企业物流营销</w:t>
            </w:r>
            <w:r>
              <w:rPr>
                <w:rFonts w:hint="eastAsia"/>
                <w:color w:val="000000"/>
                <w:sz w:val="18"/>
                <w:szCs w:val="18"/>
              </w:rPr>
              <w:t>基础概述</w:t>
            </w:r>
            <w:r>
              <w:rPr>
                <w:color w:val="000000"/>
                <w:sz w:val="18"/>
                <w:szCs w:val="18"/>
              </w:rPr>
              <w:t>、</w:t>
            </w:r>
            <w:r>
              <w:rPr>
                <w:rFonts w:hint="eastAsia"/>
                <w:color w:val="000000"/>
                <w:sz w:val="18"/>
                <w:szCs w:val="18"/>
              </w:rPr>
              <w:t>物流营销市场分析、物流目标客户选择、物流服务项目开发、物流目标客户开发、物流营销策略制定、物流客户服务管理、物流营销绩效评估等。</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z w:val="18"/>
                <w:szCs w:val="18"/>
              </w:rPr>
            </w:pPr>
          </w:p>
        </w:tc>
        <w:tc>
          <w:tcPr>
            <w:tcW w:w="1545"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bCs/>
                <w:sz w:val="18"/>
                <w:szCs w:val="18"/>
              </w:rPr>
            </w:pPr>
            <w:r>
              <w:rPr>
                <w:rFonts w:hint="eastAsia"/>
                <w:bCs/>
                <w:color w:val="000000"/>
                <w:sz w:val="18"/>
                <w:szCs w:val="18"/>
              </w:rPr>
              <w:t>采取项目教学，融入《物流师国家职业标准》，融入物流市场营销案例，使学生熟悉物流市场环境，培养学生分析和解决问题的基本能力、团队精神和创新能力以及综合职业能力和可持续发展能力。https://www.icour</w:t>
            </w:r>
            <w:r>
              <w:rPr>
                <w:rFonts w:hint="eastAsia"/>
                <w:spacing w:val="-6"/>
                <w:sz w:val="18"/>
                <w:szCs w:val="18"/>
              </w:rPr>
              <w:t>se163.org/course/WHJZY-1449608169?from=searchPage&amp;outVendor=z</w:t>
            </w:r>
            <w:r>
              <w:rPr>
                <w:rFonts w:hint="eastAsia"/>
                <w:bCs/>
                <w:color w:val="000000"/>
                <w:sz w:val="18"/>
                <w:szCs w:val="18"/>
              </w:rPr>
              <w:t>w_mooc_pcssjg_</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color w:val="000000"/>
                <w:sz w:val="18"/>
                <w:szCs w:val="18"/>
              </w:rPr>
            </w:pPr>
            <w:r>
              <w:rPr>
                <w:rFonts w:hint="eastAsia"/>
                <w:bCs/>
                <w:color w:val="000000"/>
                <w:sz w:val="18"/>
                <w:szCs w:val="18"/>
              </w:rPr>
              <w:t>在内容育人方面，结合企业管理、物流管理、市场营销等课程内容，加强学生对中国特色社会主义市场经济的深入理解，增强国家荣誉感的培养；在方法育人方面，通过案例教学法、探索式教学等，融入团队精神的培养；在实践育人方面，借助多种形式的实训操作，培养学生自律和工匠精神。</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bCs/>
                <w:color w:val="000000"/>
                <w:sz w:val="18"/>
                <w:szCs w:val="18"/>
              </w:rPr>
            </w:pP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bCs/>
                <w:color w:val="000000"/>
                <w:sz w:val="18"/>
                <w:szCs w:val="18"/>
              </w:rPr>
            </w:pPr>
            <w:r>
              <w:rPr>
                <w:rFonts w:hint="eastAsia"/>
                <w:bCs/>
                <w:color w:val="000000"/>
                <w:sz w:val="18"/>
                <w:szCs w:val="18"/>
                <w:lang w:eastAsia="zh-CN"/>
              </w:rPr>
              <w:t>对接物流管理</w:t>
            </w:r>
            <w:r>
              <w:rPr>
                <w:rFonts w:hint="eastAsia"/>
                <w:bCs/>
                <w:color w:val="000000"/>
                <w:sz w:val="18"/>
                <w:szCs w:val="18"/>
                <w:lang w:val="en-US" w:eastAsia="zh-CN"/>
              </w:rPr>
              <w:t>1+X技能证书培训与考核、</w:t>
            </w:r>
            <w:r>
              <w:rPr>
                <w:rFonts w:hint="eastAsia"/>
                <w:bCs/>
                <w:color w:val="000000"/>
                <w:sz w:val="18"/>
                <w:szCs w:val="18"/>
                <w:lang w:eastAsia="zh-CN"/>
              </w:rPr>
              <w:t>江苏省智慧物流技能大赛中有关物流市场开发与客户关系管理等。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ascii="宋体" w:hAnsi="宋体" w:eastAsia="宋体" w:cs="宋体"/>
                <w:b w:val="0"/>
                <w:bCs/>
                <w:i w:val="0"/>
                <w:iCs w:val="0"/>
                <w:sz w:val="18"/>
                <w:szCs w:val="18"/>
                <w:lang w:eastAsia="zh-CN"/>
              </w:rPr>
            </w:pPr>
            <w:r>
              <w:rPr>
                <w:rFonts w:hint="eastAsia" w:ascii="宋体" w:hAnsi="宋体" w:cs="宋体"/>
                <w:b w:val="0"/>
                <w:bCs/>
                <w:i w:val="0"/>
                <w:iCs w:val="0"/>
                <w:lang w:val="en-US" w:eastAsia="zh-CN"/>
              </w:rPr>
              <w:t>7</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ascii="宋体" w:hAnsi="宋体" w:eastAsia="宋体" w:cs="宋体"/>
                <w:b w:val="0"/>
                <w:bCs/>
                <w:i w:val="0"/>
                <w:iCs w:val="0"/>
                <w:color w:val="000000"/>
                <w:sz w:val="18"/>
                <w:szCs w:val="18"/>
              </w:rPr>
            </w:pPr>
            <w:r>
              <w:rPr>
                <w:rFonts w:hint="eastAsia" w:ascii="宋体" w:hAnsi="宋体" w:eastAsia="宋体" w:cs="宋体"/>
                <w:b w:val="0"/>
                <w:bCs/>
                <w:i w:val="0"/>
                <w:iCs w:val="0"/>
                <w:sz w:val="18"/>
                <w:szCs w:val="18"/>
                <w:lang w:eastAsia="zh-CN"/>
              </w:rPr>
              <w:t>生产与运作管理实务</w:t>
            </w:r>
          </w:p>
        </w:tc>
        <w:tc>
          <w:tcPr>
            <w:tcW w:w="1355"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asciiTheme="minorEastAsia" w:hAnsiTheme="minorEastAsia"/>
                <w:sz w:val="18"/>
                <w:szCs w:val="18"/>
              </w:rPr>
            </w:pPr>
            <w:r>
              <w:rPr>
                <w:rFonts w:hint="eastAsia" w:asciiTheme="minorEastAsia" w:hAnsiTheme="minorEastAsia"/>
                <w:sz w:val="18"/>
                <w:szCs w:val="18"/>
              </w:rPr>
              <w:t>本课程的目标是全面贯彻党的教育方针，培育和践行社会主义核心价值观，落实立德树人的根本任务，发扬</w:t>
            </w:r>
            <w:r>
              <w:rPr>
                <w:rFonts w:hint="eastAsia" w:asciiTheme="minorEastAsia" w:hAnsiTheme="minorEastAsia"/>
                <w:sz w:val="18"/>
                <w:szCs w:val="18"/>
                <w:lang w:val="en-US" w:eastAsia="zh-CN"/>
              </w:rPr>
              <w:t>创新精神</w:t>
            </w:r>
            <w:r>
              <w:rPr>
                <w:rFonts w:hint="eastAsia" w:asciiTheme="minorEastAsia" w:hAnsiTheme="minorEastAsia"/>
                <w:sz w:val="18"/>
                <w:szCs w:val="18"/>
              </w:rPr>
              <w:t>，培养学生在生产运作管理方面分析问题、解决问题和独立工作的能力。通过本课程的学习，学生应该能够达到</w:t>
            </w:r>
            <w:r>
              <w:rPr>
                <w:rFonts w:hint="eastAsia" w:asciiTheme="minorEastAsia" w:hAnsiTheme="minorEastAsia"/>
                <w:sz w:val="18"/>
                <w:szCs w:val="18"/>
                <w:lang w:val="en-US" w:eastAsia="zh-CN"/>
              </w:rPr>
              <w:t>生产与运作管理实务</w:t>
            </w:r>
            <w:r>
              <w:rPr>
                <w:rFonts w:hint="eastAsia" w:asciiTheme="minorEastAsia" w:hAnsiTheme="minorEastAsia"/>
                <w:sz w:val="18"/>
                <w:szCs w:val="18"/>
              </w:rPr>
              <w:t>课程标准所设定的几项课程核心素养的发展目标。</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i/>
                <w:iCs/>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i/>
                <w:iCs/>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color w:val="000000"/>
                <w:sz w:val="18"/>
                <w:szCs w:val="18"/>
              </w:rPr>
            </w:pPr>
          </w:p>
        </w:tc>
        <w:tc>
          <w:tcPr>
            <w:tcW w:w="1330"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pacing w:val="-6"/>
                <w:sz w:val="18"/>
                <w:szCs w:val="18"/>
              </w:rPr>
            </w:pPr>
            <w:r>
              <w:rPr>
                <w:rFonts w:hint="eastAsia"/>
                <w:spacing w:val="-6"/>
                <w:sz w:val="18"/>
                <w:szCs w:val="18"/>
              </w:rPr>
              <w:t>生产与运作管理的基本概念、原理和方法。</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pacing w:val="-6"/>
                <w:sz w:val="18"/>
                <w:szCs w:val="18"/>
              </w:rPr>
            </w:pPr>
            <w:r>
              <w:rPr>
                <w:rFonts w:hint="eastAsia"/>
                <w:spacing w:val="-6"/>
                <w:sz w:val="18"/>
                <w:szCs w:val="18"/>
              </w:rPr>
              <w:t>生产与运作系统的设计、构建和管理，包括设施选择、生产规模与技术层次决策、生产与运作系统的总平面布置等。</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pacing w:val="-6"/>
                <w:sz w:val="18"/>
                <w:szCs w:val="18"/>
              </w:rPr>
            </w:pPr>
            <w:r>
              <w:rPr>
                <w:rFonts w:hint="eastAsia"/>
                <w:spacing w:val="-6"/>
                <w:sz w:val="18"/>
                <w:szCs w:val="18"/>
              </w:rPr>
              <w:t>生产与运作系统的运行管理，包括计划、组织和控制等方面的知识。</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pacing w:val="-6"/>
                <w:sz w:val="18"/>
                <w:szCs w:val="18"/>
              </w:rPr>
            </w:pPr>
            <w:r>
              <w:rPr>
                <w:rFonts w:hint="eastAsia"/>
                <w:spacing w:val="-6"/>
                <w:sz w:val="18"/>
                <w:szCs w:val="18"/>
              </w:rPr>
              <w:t>质量管理与控制，以及如何在生产过程中保证和提高产品质量。</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pacing w:val="-6"/>
                <w:sz w:val="18"/>
                <w:szCs w:val="18"/>
              </w:rPr>
            </w:pPr>
            <w:r>
              <w:rPr>
                <w:rFonts w:hint="eastAsia"/>
                <w:spacing w:val="-6"/>
                <w:sz w:val="18"/>
                <w:szCs w:val="18"/>
              </w:rPr>
              <w:t>生产与运作系统的维护与改进，包括如何对系统进行优化和提高效率。</w:t>
            </w:r>
          </w:p>
        </w:tc>
        <w:tc>
          <w:tcPr>
            <w:tcW w:w="1545"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pacing w:val="-6"/>
                <w:sz w:val="18"/>
                <w:szCs w:val="18"/>
              </w:rPr>
            </w:pPr>
            <w:r>
              <w:rPr>
                <w:rFonts w:hint="eastAsia"/>
                <w:spacing w:val="-6"/>
                <w:sz w:val="18"/>
                <w:szCs w:val="18"/>
              </w:rPr>
              <w:t>学生应熟练掌握生产与运作管理的基本理论和方法，能够运用所学知识解决实际问题。</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pacing w:val="-6"/>
                <w:sz w:val="18"/>
                <w:szCs w:val="18"/>
              </w:rPr>
            </w:pPr>
            <w:r>
              <w:rPr>
                <w:rFonts w:hint="eastAsia"/>
                <w:spacing w:val="-6"/>
                <w:sz w:val="18"/>
                <w:szCs w:val="18"/>
              </w:rPr>
              <w:t>学生应具备生产与运作系统的设计、构建和管理能力，能够根据实际情况进行合理的设施选择、生产规模与技术层次决策等。</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pacing w:val="-6"/>
                <w:sz w:val="18"/>
                <w:szCs w:val="18"/>
              </w:rPr>
            </w:pPr>
            <w:r>
              <w:rPr>
                <w:rFonts w:hint="eastAsia"/>
                <w:spacing w:val="-6"/>
                <w:sz w:val="18"/>
                <w:szCs w:val="18"/>
              </w:rPr>
              <w:t>学生应掌握生产与运作系统的运行管理技能，包括制定生产计划、组织生产活动和控制生产过程等。</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pacing w:val="-6"/>
                <w:sz w:val="18"/>
                <w:szCs w:val="18"/>
              </w:rPr>
            </w:pPr>
            <w:r>
              <w:rPr>
                <w:rFonts w:hint="eastAsia"/>
                <w:spacing w:val="-6"/>
                <w:sz w:val="18"/>
                <w:szCs w:val="18"/>
              </w:rPr>
              <w:t>学生应了解质量管理与控制的重要性，并能够在生产过程中实施有效的质量控制措施。</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spacing w:val="-6"/>
                <w:sz w:val="18"/>
                <w:szCs w:val="18"/>
              </w:rPr>
            </w:pPr>
            <w:r>
              <w:rPr>
                <w:rFonts w:hint="eastAsia"/>
                <w:spacing w:val="-6"/>
                <w:sz w:val="18"/>
                <w:szCs w:val="18"/>
              </w:rPr>
              <w:t>学生应具备创新意识，能够针对生产与运作系统存在的问题提出改进方案，并不断优化系统性能。https://www.icourse163.org/course/WHJZY-1449608169?from=searchPage&amp;outVendor=zw_mooc_pcssjg_</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bCs/>
                <w:i w:val="0"/>
                <w:iCs w:val="0"/>
                <w:color w:val="000000"/>
                <w:sz w:val="18"/>
                <w:szCs w:val="18"/>
              </w:rPr>
            </w:pPr>
            <w:r>
              <w:rPr>
                <w:rFonts w:hint="eastAsia"/>
                <w:bCs/>
                <w:i w:val="0"/>
                <w:iCs w:val="0"/>
                <w:color w:val="000000"/>
                <w:sz w:val="18"/>
                <w:szCs w:val="18"/>
              </w:rPr>
              <w:t>工匠精神：通过介绍国内外先进的生产管理案例，引导学生理解并崇尚精益求精的工匠精神，培养学生对待工作的认真态度和追求卓越的品质。</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bCs/>
                <w:i w:val="0"/>
                <w:iCs w:val="0"/>
                <w:color w:val="000000"/>
                <w:sz w:val="18"/>
                <w:szCs w:val="18"/>
              </w:rPr>
            </w:pPr>
            <w:r>
              <w:rPr>
                <w:rFonts w:hint="eastAsia"/>
                <w:bCs/>
                <w:i w:val="0"/>
                <w:iCs w:val="0"/>
                <w:color w:val="000000"/>
                <w:sz w:val="18"/>
                <w:szCs w:val="18"/>
              </w:rPr>
              <w:t>创新精神：鼓励学生勇于探索新的生产与运作管理方法和技术，培养学生的创新意识和实践能力。</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bCs/>
                <w:i w:val="0"/>
                <w:iCs w:val="0"/>
                <w:color w:val="000000"/>
                <w:sz w:val="18"/>
                <w:szCs w:val="18"/>
              </w:rPr>
            </w:pPr>
            <w:r>
              <w:rPr>
                <w:rFonts w:hint="eastAsia"/>
                <w:bCs/>
                <w:i w:val="0"/>
                <w:iCs w:val="0"/>
                <w:color w:val="000000"/>
                <w:sz w:val="18"/>
                <w:szCs w:val="18"/>
              </w:rPr>
              <w:t>团队协作：通过小组讨论、案例分析等方式培养学生的团队协作意识和沟通能力，使学生能够在团队中有效合作并解决问题。</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bCs/>
                <w:i w:val="0"/>
                <w:iCs w:val="0"/>
                <w:color w:val="000000"/>
                <w:sz w:val="18"/>
                <w:szCs w:val="18"/>
              </w:rPr>
            </w:pPr>
            <w:r>
              <w:rPr>
                <w:rFonts w:hint="eastAsia"/>
                <w:bCs/>
                <w:i w:val="0"/>
                <w:iCs w:val="0"/>
                <w:color w:val="000000"/>
                <w:sz w:val="18"/>
                <w:szCs w:val="18"/>
              </w:rPr>
              <w:t>社会责任：强调企业在生产与运作过程中应承担的社会责任，包括环境保护、资源节约等方面，培养学生的社会责任感和可持续发展意识。</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bCs/>
                <w:color w:val="000000"/>
                <w:sz w:val="18"/>
                <w:szCs w:val="18"/>
              </w:rPr>
            </w:pP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bCs/>
                <w:color w:val="000000"/>
                <w:sz w:val="18"/>
                <w:szCs w:val="18"/>
              </w:rPr>
            </w:pPr>
            <w:r>
              <w:rPr>
                <w:rFonts w:hint="eastAsia"/>
                <w:bCs/>
                <w:color w:val="000000"/>
                <w:sz w:val="18"/>
                <w:szCs w:val="18"/>
                <w:lang w:eastAsia="zh-CN"/>
              </w:rPr>
              <w:t>对接物流管理</w:t>
            </w:r>
            <w:r>
              <w:rPr>
                <w:rFonts w:hint="eastAsia"/>
                <w:bCs/>
                <w:color w:val="000000"/>
                <w:sz w:val="18"/>
                <w:szCs w:val="18"/>
                <w:lang w:val="en-US" w:eastAsia="zh-CN"/>
              </w:rPr>
              <w:t>1+X技能证书培训与考核、</w:t>
            </w:r>
            <w:r>
              <w:rPr>
                <w:rFonts w:hint="eastAsia"/>
                <w:bCs/>
                <w:color w:val="000000"/>
                <w:sz w:val="18"/>
                <w:szCs w:val="18"/>
                <w:lang w:eastAsia="zh-CN"/>
              </w:rPr>
              <w:t>江苏省智慧物流技能大赛中生产与运作管理部分内容，生产作业、生产计划、看板管理等。</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bCs/>
                <w:color w:val="000000"/>
                <w:sz w:val="18"/>
                <w:szCs w:val="18"/>
              </w:rPr>
            </w:pPr>
          </w:p>
        </w:tc>
      </w:tr>
    </w:tbl>
    <w:p>
      <w:pPr>
        <w:widowControl/>
        <w:spacing w:line="440" w:lineRule="exact"/>
        <w:ind w:firstLine="420"/>
        <w:jc w:val="left"/>
        <w:rPr>
          <w:rFonts w:ascii="宋体" w:hAnsi="宋体" w:cs="宋体"/>
          <w:color w:val="000000"/>
          <w:kern w:val="0"/>
          <w:sz w:val="24"/>
          <w:szCs w:val="24"/>
        </w:rPr>
      </w:pPr>
    </w:p>
    <w:p>
      <w:pPr>
        <w:rPr>
          <w:rFonts w:hint="eastAsia" w:ascii="宋体" w:hAnsi="宋体"/>
          <w:b/>
          <w:sz w:val="30"/>
          <w:szCs w:val="30"/>
        </w:rPr>
      </w:pPr>
      <w:bookmarkStart w:id="11" w:name="_Toc28084"/>
      <w:r>
        <w:rPr>
          <w:rFonts w:hint="eastAsia" w:ascii="宋体" w:hAnsi="宋体"/>
          <w:b/>
          <w:sz w:val="30"/>
          <w:szCs w:val="30"/>
        </w:rPr>
        <w:br w:type="page"/>
      </w:r>
    </w:p>
    <w:p>
      <w:pPr>
        <w:snapToGrid w:val="0"/>
        <w:spacing w:line="560" w:lineRule="exact"/>
        <w:ind w:firstLine="602" w:firstLineChars="200"/>
        <w:outlineLvl w:val="0"/>
        <w:rPr>
          <w:rFonts w:ascii="宋体" w:hAnsi="宋体"/>
          <w:b/>
          <w:sz w:val="30"/>
          <w:szCs w:val="30"/>
        </w:rPr>
      </w:pPr>
      <w:r>
        <w:rPr>
          <w:rFonts w:hint="eastAsia" w:ascii="宋体" w:hAnsi="宋体"/>
          <w:b/>
          <w:sz w:val="30"/>
          <w:szCs w:val="30"/>
        </w:rPr>
        <w:t>九</w:t>
      </w:r>
      <w:r>
        <w:rPr>
          <w:rFonts w:ascii="宋体" w:hAnsi="宋体"/>
          <w:b/>
          <w:sz w:val="30"/>
          <w:szCs w:val="30"/>
        </w:rPr>
        <w:t>、</w:t>
      </w:r>
      <w:r>
        <w:rPr>
          <w:rFonts w:hint="eastAsia" w:ascii="宋体" w:hAnsi="宋体"/>
          <w:b/>
          <w:sz w:val="30"/>
          <w:szCs w:val="30"/>
        </w:rPr>
        <w:t>教学进程</w:t>
      </w:r>
      <w:r>
        <w:rPr>
          <w:rFonts w:ascii="宋体" w:hAnsi="宋体"/>
          <w:b/>
          <w:sz w:val="30"/>
          <w:szCs w:val="30"/>
        </w:rPr>
        <w:t>总体安排</w:t>
      </w:r>
      <w:bookmarkEnd w:id="11"/>
    </w:p>
    <w:p>
      <w:pPr>
        <w:snapToGrid w:val="0"/>
        <w:spacing w:line="560" w:lineRule="exact"/>
        <w:ind w:firstLine="562" w:firstLineChars="200"/>
        <w:rPr>
          <w:rFonts w:ascii="宋体" w:hAnsi="宋体"/>
          <w:b/>
          <w:sz w:val="28"/>
          <w:szCs w:val="28"/>
        </w:rPr>
      </w:pPr>
      <w:r>
        <w:rPr>
          <w:rFonts w:hint="eastAsia" w:ascii="宋体" w:hAnsi="宋体"/>
          <w:b/>
          <w:sz w:val="28"/>
          <w:szCs w:val="28"/>
        </w:rPr>
        <w:t>（一）教学</w:t>
      </w:r>
      <w:r>
        <w:rPr>
          <w:rFonts w:ascii="宋体" w:hAnsi="宋体"/>
          <w:b/>
          <w:sz w:val="28"/>
          <w:szCs w:val="28"/>
        </w:rPr>
        <w:t>进程表</w:t>
      </w:r>
    </w:p>
    <w:p>
      <w:pPr>
        <w:snapToGrid w:val="0"/>
        <w:spacing w:line="560" w:lineRule="exact"/>
        <w:ind w:firstLine="562" w:firstLineChars="200"/>
        <w:rPr>
          <w:rFonts w:hint="default" w:ascii="宋体" w:hAnsi="宋体" w:eastAsia="宋体"/>
          <w:b/>
          <w:sz w:val="21"/>
          <w:szCs w:val="21"/>
          <w:lang w:val="en-US" w:eastAsia="zh-CN"/>
        </w:rPr>
      </w:pPr>
      <w:r>
        <w:rPr>
          <w:rFonts w:hint="eastAsia" w:ascii="宋体" w:hAnsi="宋体"/>
          <w:b/>
          <w:sz w:val="28"/>
          <w:szCs w:val="28"/>
          <w:lang w:val="en-US" w:eastAsia="zh-CN"/>
        </w:rPr>
        <w:t xml:space="preserve">              </w:t>
      </w:r>
      <w:r>
        <w:rPr>
          <w:rFonts w:hint="eastAsia" w:ascii="宋体" w:hAnsi="宋体"/>
          <w:b/>
          <w:sz w:val="21"/>
          <w:szCs w:val="21"/>
          <w:lang w:val="en-US" w:eastAsia="zh-CN"/>
        </w:rPr>
        <w:t xml:space="preserve"> 表7 现代物流管理专业教学进程表</w:t>
      </w:r>
    </w:p>
    <w:tbl>
      <w:tblPr>
        <w:tblStyle w:val="10"/>
        <w:tblW w:w="91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438"/>
        <w:gridCol w:w="302"/>
        <w:gridCol w:w="450"/>
        <w:gridCol w:w="994"/>
        <w:gridCol w:w="2219"/>
        <w:gridCol w:w="504"/>
        <w:gridCol w:w="494"/>
        <w:gridCol w:w="459"/>
        <w:gridCol w:w="527"/>
        <w:gridCol w:w="422"/>
        <w:gridCol w:w="380"/>
        <w:gridCol w:w="402"/>
        <w:gridCol w:w="380"/>
        <w:gridCol w:w="380"/>
        <w:gridCol w:w="380"/>
        <w:gridCol w:w="428"/>
        <w:gridCol w:w="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190" w:type="dxa"/>
            <w:gridSpan w:val="3"/>
            <w:vMerge w:val="restart"/>
            <w:vAlign w:val="center"/>
          </w:tcPr>
          <w:p>
            <w:pPr>
              <w:snapToGrid w:val="0"/>
              <w:ind w:left="-5" w:firstLine="4" w:firstLineChars="2"/>
              <w:jc w:val="center"/>
              <w:rPr>
                <w:rFonts w:hint="eastAsia"/>
                <w:b/>
                <w:sz w:val="18"/>
                <w:szCs w:val="18"/>
              </w:rPr>
            </w:pPr>
            <w:r>
              <w:rPr>
                <w:rFonts w:hint="eastAsia"/>
                <w:b/>
                <w:sz w:val="18"/>
                <w:szCs w:val="18"/>
              </w:rPr>
              <w:t>课程</w:t>
            </w:r>
          </w:p>
          <w:p>
            <w:pPr>
              <w:snapToGrid w:val="0"/>
              <w:ind w:left="-5" w:firstLine="4" w:firstLineChars="2"/>
              <w:jc w:val="center"/>
              <w:rPr>
                <w:rFonts w:hint="eastAsia"/>
                <w:b/>
                <w:sz w:val="18"/>
                <w:szCs w:val="18"/>
              </w:rPr>
            </w:pPr>
            <w:r>
              <w:rPr>
                <w:rFonts w:hint="eastAsia"/>
                <w:b/>
                <w:sz w:val="18"/>
                <w:szCs w:val="18"/>
              </w:rPr>
              <w:t>类别</w:t>
            </w:r>
          </w:p>
        </w:tc>
        <w:tc>
          <w:tcPr>
            <w:tcW w:w="994" w:type="dxa"/>
            <w:vMerge w:val="restart"/>
            <w:vAlign w:val="center"/>
          </w:tcPr>
          <w:p>
            <w:pPr>
              <w:snapToGrid w:val="0"/>
              <w:ind w:left="-5" w:firstLine="4" w:firstLineChars="2"/>
              <w:jc w:val="center"/>
              <w:rPr>
                <w:rFonts w:hint="eastAsia"/>
                <w:b/>
                <w:sz w:val="18"/>
                <w:szCs w:val="18"/>
              </w:rPr>
            </w:pPr>
            <w:r>
              <w:rPr>
                <w:rFonts w:hint="eastAsia"/>
                <w:b/>
                <w:sz w:val="18"/>
                <w:szCs w:val="18"/>
              </w:rPr>
              <w:t>课程编号</w:t>
            </w:r>
          </w:p>
        </w:tc>
        <w:tc>
          <w:tcPr>
            <w:tcW w:w="2219" w:type="dxa"/>
            <w:vMerge w:val="restart"/>
            <w:vAlign w:val="center"/>
          </w:tcPr>
          <w:p>
            <w:pPr>
              <w:snapToGrid w:val="0"/>
              <w:ind w:left="-5" w:firstLine="4" w:firstLineChars="2"/>
              <w:jc w:val="center"/>
              <w:rPr>
                <w:rFonts w:hint="eastAsia"/>
                <w:b/>
                <w:sz w:val="18"/>
                <w:szCs w:val="18"/>
              </w:rPr>
            </w:pPr>
            <w:r>
              <w:rPr>
                <w:rFonts w:hint="eastAsia"/>
                <w:b/>
                <w:sz w:val="18"/>
                <w:szCs w:val="18"/>
              </w:rPr>
              <w:t>课程（项目）名称</w:t>
            </w:r>
          </w:p>
        </w:tc>
        <w:tc>
          <w:tcPr>
            <w:tcW w:w="504" w:type="dxa"/>
            <w:vMerge w:val="restart"/>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b/>
                <w:sz w:val="18"/>
                <w:szCs w:val="18"/>
              </w:rPr>
            </w:pPr>
            <w:r>
              <w:rPr>
                <w:rFonts w:hint="eastAsia"/>
                <w:b/>
                <w:sz w:val="18"/>
                <w:szCs w:val="18"/>
              </w:rPr>
              <w:t>计划</w:t>
            </w:r>
          </w:p>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b/>
                <w:sz w:val="18"/>
                <w:szCs w:val="18"/>
              </w:rPr>
            </w:pPr>
            <w:r>
              <w:rPr>
                <w:rFonts w:hint="eastAsia"/>
                <w:b/>
                <w:sz w:val="18"/>
                <w:szCs w:val="18"/>
              </w:rPr>
              <w:t>学时</w:t>
            </w:r>
          </w:p>
        </w:tc>
        <w:tc>
          <w:tcPr>
            <w:tcW w:w="494" w:type="dxa"/>
            <w:vMerge w:val="restart"/>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b/>
                <w:sz w:val="18"/>
                <w:szCs w:val="18"/>
              </w:rPr>
            </w:pPr>
            <w:r>
              <w:rPr>
                <w:rFonts w:hint="eastAsia"/>
                <w:b/>
                <w:sz w:val="18"/>
                <w:szCs w:val="18"/>
              </w:rPr>
              <w:t>理论</w:t>
            </w:r>
          </w:p>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b/>
                <w:sz w:val="18"/>
                <w:szCs w:val="18"/>
              </w:rPr>
            </w:pPr>
            <w:r>
              <w:rPr>
                <w:rFonts w:hint="eastAsia"/>
                <w:b/>
                <w:sz w:val="18"/>
                <w:szCs w:val="18"/>
              </w:rPr>
              <w:t>学时</w:t>
            </w:r>
          </w:p>
        </w:tc>
        <w:tc>
          <w:tcPr>
            <w:tcW w:w="459" w:type="dxa"/>
            <w:vMerge w:val="restart"/>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b/>
                <w:sz w:val="18"/>
                <w:szCs w:val="18"/>
              </w:rPr>
            </w:pPr>
            <w:r>
              <w:rPr>
                <w:rFonts w:hint="eastAsia"/>
                <w:b/>
                <w:sz w:val="18"/>
                <w:szCs w:val="18"/>
              </w:rPr>
              <w:t>实践</w:t>
            </w:r>
          </w:p>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b/>
                <w:sz w:val="18"/>
                <w:szCs w:val="18"/>
              </w:rPr>
            </w:pPr>
            <w:r>
              <w:rPr>
                <w:rFonts w:hint="eastAsia"/>
                <w:b/>
                <w:sz w:val="18"/>
                <w:szCs w:val="18"/>
              </w:rPr>
              <w:t>学时</w:t>
            </w:r>
          </w:p>
        </w:tc>
        <w:tc>
          <w:tcPr>
            <w:tcW w:w="527" w:type="dxa"/>
            <w:vMerge w:val="restart"/>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b/>
                <w:sz w:val="18"/>
                <w:szCs w:val="18"/>
              </w:rPr>
            </w:pPr>
            <w:r>
              <w:rPr>
                <w:rFonts w:hint="eastAsia"/>
                <w:b/>
                <w:sz w:val="18"/>
                <w:szCs w:val="18"/>
              </w:rPr>
              <w:t>学分</w:t>
            </w:r>
          </w:p>
        </w:tc>
        <w:tc>
          <w:tcPr>
            <w:tcW w:w="2344" w:type="dxa"/>
            <w:gridSpan w:val="6"/>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b/>
                <w:sz w:val="18"/>
                <w:szCs w:val="18"/>
              </w:rPr>
            </w:pPr>
            <w:r>
              <w:rPr>
                <w:rFonts w:hint="eastAsia"/>
                <w:b/>
                <w:sz w:val="18"/>
                <w:szCs w:val="18"/>
              </w:rPr>
              <w:t>学期分配及周课时数</w:t>
            </w:r>
          </w:p>
        </w:tc>
        <w:tc>
          <w:tcPr>
            <w:tcW w:w="446"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b/>
                <w:sz w:val="18"/>
                <w:szCs w:val="18"/>
              </w:rPr>
            </w:pPr>
            <w:r>
              <w:rPr>
                <w:rFonts w:hint="eastAsia"/>
                <w:b/>
                <w:sz w:val="18"/>
                <w:szCs w:val="18"/>
              </w:rPr>
              <w:t>课程类型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190" w:type="dxa"/>
            <w:gridSpan w:val="3"/>
            <w:vMerge w:val="continue"/>
            <w:vAlign w:val="center"/>
          </w:tcPr>
          <w:p>
            <w:pPr>
              <w:snapToGrid w:val="0"/>
              <w:ind w:left="-5" w:firstLine="4" w:firstLineChars="2"/>
              <w:jc w:val="center"/>
              <w:rPr>
                <w:rFonts w:hint="eastAsia"/>
                <w:b/>
                <w:sz w:val="18"/>
                <w:szCs w:val="18"/>
              </w:rPr>
            </w:pPr>
          </w:p>
        </w:tc>
        <w:tc>
          <w:tcPr>
            <w:tcW w:w="994" w:type="dxa"/>
            <w:vMerge w:val="continue"/>
            <w:vAlign w:val="center"/>
          </w:tcPr>
          <w:p>
            <w:pPr>
              <w:snapToGrid w:val="0"/>
              <w:ind w:left="-5" w:firstLine="3" w:firstLineChars="2"/>
              <w:jc w:val="center"/>
              <w:rPr>
                <w:rFonts w:hint="eastAsia"/>
                <w:sz w:val="18"/>
                <w:szCs w:val="18"/>
              </w:rPr>
            </w:pPr>
          </w:p>
        </w:tc>
        <w:tc>
          <w:tcPr>
            <w:tcW w:w="2219" w:type="dxa"/>
            <w:vMerge w:val="continue"/>
            <w:vAlign w:val="center"/>
          </w:tcPr>
          <w:p>
            <w:pPr>
              <w:snapToGrid w:val="0"/>
              <w:ind w:left="-5" w:firstLine="3" w:firstLineChars="2"/>
              <w:jc w:val="center"/>
              <w:rPr>
                <w:rFonts w:hint="eastAsia"/>
                <w:sz w:val="18"/>
                <w:szCs w:val="18"/>
              </w:rPr>
            </w:pPr>
          </w:p>
        </w:tc>
        <w:tc>
          <w:tcPr>
            <w:tcW w:w="504" w:type="dxa"/>
            <w:vMerge w:val="continue"/>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sz w:val="18"/>
                <w:szCs w:val="18"/>
              </w:rPr>
            </w:pPr>
          </w:p>
        </w:tc>
        <w:tc>
          <w:tcPr>
            <w:tcW w:w="494" w:type="dxa"/>
            <w:vMerge w:val="continue"/>
            <w:vAlign w:val="top"/>
          </w:tcPr>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sz w:val="18"/>
                <w:szCs w:val="18"/>
              </w:rPr>
            </w:pPr>
          </w:p>
        </w:tc>
        <w:tc>
          <w:tcPr>
            <w:tcW w:w="459" w:type="dxa"/>
            <w:vMerge w:val="continue"/>
            <w:vAlign w:val="top"/>
          </w:tcPr>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sz w:val="18"/>
                <w:szCs w:val="18"/>
              </w:rPr>
            </w:pPr>
          </w:p>
        </w:tc>
        <w:tc>
          <w:tcPr>
            <w:tcW w:w="527" w:type="dxa"/>
            <w:vMerge w:val="continue"/>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sz w:val="18"/>
                <w:szCs w:val="18"/>
              </w:rPr>
            </w:pPr>
          </w:p>
        </w:tc>
        <w:tc>
          <w:tcPr>
            <w:tcW w:w="422" w:type="dxa"/>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sz w:val="18"/>
                <w:szCs w:val="18"/>
              </w:rPr>
            </w:pPr>
            <w:r>
              <w:rPr>
                <w:rFonts w:hint="eastAsia"/>
                <w:sz w:val="18"/>
                <w:szCs w:val="18"/>
              </w:rPr>
              <w:t>一</w:t>
            </w:r>
          </w:p>
        </w:tc>
        <w:tc>
          <w:tcPr>
            <w:tcW w:w="380" w:type="dxa"/>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sz w:val="18"/>
                <w:szCs w:val="18"/>
              </w:rPr>
            </w:pPr>
            <w:r>
              <w:rPr>
                <w:rFonts w:hint="eastAsia"/>
                <w:sz w:val="18"/>
                <w:szCs w:val="18"/>
              </w:rPr>
              <w:t>二</w:t>
            </w:r>
          </w:p>
        </w:tc>
        <w:tc>
          <w:tcPr>
            <w:tcW w:w="402" w:type="dxa"/>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sz w:val="18"/>
                <w:szCs w:val="18"/>
              </w:rPr>
            </w:pPr>
            <w:r>
              <w:rPr>
                <w:rFonts w:hint="eastAsia"/>
                <w:sz w:val="18"/>
                <w:szCs w:val="18"/>
              </w:rPr>
              <w:t>三</w:t>
            </w:r>
          </w:p>
        </w:tc>
        <w:tc>
          <w:tcPr>
            <w:tcW w:w="380" w:type="dxa"/>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sz w:val="18"/>
                <w:szCs w:val="18"/>
              </w:rPr>
            </w:pPr>
            <w:r>
              <w:rPr>
                <w:rFonts w:hint="eastAsia"/>
                <w:sz w:val="18"/>
                <w:szCs w:val="18"/>
              </w:rPr>
              <w:t>四</w:t>
            </w:r>
          </w:p>
        </w:tc>
        <w:tc>
          <w:tcPr>
            <w:tcW w:w="380" w:type="dxa"/>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sz w:val="18"/>
                <w:szCs w:val="18"/>
              </w:rPr>
            </w:pPr>
            <w:r>
              <w:rPr>
                <w:rFonts w:hint="eastAsia"/>
                <w:sz w:val="18"/>
                <w:szCs w:val="18"/>
              </w:rPr>
              <w:t>五</w:t>
            </w:r>
          </w:p>
        </w:tc>
        <w:tc>
          <w:tcPr>
            <w:tcW w:w="38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sz w:val="18"/>
                <w:szCs w:val="18"/>
              </w:rPr>
            </w:pPr>
            <w:r>
              <w:rPr>
                <w:rFonts w:hint="eastAsia"/>
                <w:sz w:val="18"/>
                <w:szCs w:val="18"/>
              </w:rPr>
              <w:t>六</w:t>
            </w:r>
          </w:p>
        </w:tc>
        <w:tc>
          <w:tcPr>
            <w:tcW w:w="446"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restart"/>
            <w:vAlign w:val="center"/>
          </w:tcPr>
          <w:p>
            <w:pPr>
              <w:snapToGrid w:val="0"/>
              <w:ind w:left="-5" w:firstLine="4" w:firstLineChars="2"/>
              <w:jc w:val="center"/>
              <w:rPr>
                <w:rFonts w:hint="eastAsia"/>
                <w:b/>
                <w:sz w:val="18"/>
                <w:szCs w:val="18"/>
              </w:rPr>
            </w:pPr>
            <w:r>
              <w:rPr>
                <w:rFonts w:hint="eastAsia"/>
                <w:b/>
                <w:sz w:val="18"/>
                <w:szCs w:val="18"/>
              </w:rPr>
              <w:t>公共课</w:t>
            </w:r>
          </w:p>
        </w:tc>
        <w:tc>
          <w:tcPr>
            <w:tcW w:w="752" w:type="dxa"/>
            <w:gridSpan w:val="2"/>
            <w:vMerge w:val="restart"/>
            <w:vAlign w:val="center"/>
          </w:tcPr>
          <w:p>
            <w:pPr>
              <w:adjustRightInd w:val="0"/>
              <w:snapToGrid w:val="0"/>
              <w:jc w:val="center"/>
              <w:rPr>
                <w:rFonts w:hint="eastAsia"/>
                <w:b/>
                <w:sz w:val="18"/>
                <w:szCs w:val="18"/>
              </w:rPr>
            </w:pPr>
            <w:r>
              <w:rPr>
                <w:rFonts w:hint="eastAsia"/>
                <w:b/>
                <w:sz w:val="18"/>
                <w:szCs w:val="18"/>
              </w:rPr>
              <w:t>公共</w:t>
            </w:r>
          </w:p>
          <w:p>
            <w:pPr>
              <w:adjustRightInd w:val="0"/>
              <w:snapToGrid w:val="0"/>
              <w:jc w:val="center"/>
              <w:rPr>
                <w:rFonts w:hint="eastAsia"/>
                <w:b/>
                <w:color w:val="FF0000"/>
                <w:sz w:val="18"/>
                <w:szCs w:val="18"/>
              </w:rPr>
            </w:pPr>
            <w:r>
              <w:rPr>
                <w:rFonts w:hint="eastAsia"/>
                <w:b/>
                <w:sz w:val="18"/>
                <w:szCs w:val="18"/>
              </w:rPr>
              <w:t>必修课</w:t>
            </w:r>
          </w:p>
        </w:tc>
        <w:tc>
          <w:tcPr>
            <w:tcW w:w="994" w:type="dxa"/>
            <w:vAlign w:val="center"/>
          </w:tcPr>
          <w:p>
            <w:pPr>
              <w:snapToGrid w:val="0"/>
              <w:ind w:left="-5" w:firstLine="3" w:firstLineChars="2"/>
              <w:rPr>
                <w:sz w:val="18"/>
                <w:szCs w:val="18"/>
              </w:rPr>
            </w:pPr>
            <w:r>
              <w:rPr>
                <w:sz w:val="18"/>
                <w:szCs w:val="18"/>
              </w:rPr>
              <w:t>C061001</w:t>
            </w:r>
          </w:p>
        </w:tc>
        <w:tc>
          <w:tcPr>
            <w:tcW w:w="2219" w:type="dxa"/>
            <w:vAlign w:val="center"/>
          </w:tcPr>
          <w:p>
            <w:pPr>
              <w:snapToGrid w:val="0"/>
              <w:ind w:left="-5" w:firstLine="3" w:firstLineChars="2"/>
              <w:rPr>
                <w:rFonts w:hint="eastAsia"/>
                <w:sz w:val="18"/>
                <w:szCs w:val="18"/>
              </w:rPr>
            </w:pPr>
            <w:r>
              <w:rPr>
                <w:rFonts w:hint="eastAsia"/>
                <w:sz w:val="18"/>
                <w:szCs w:val="18"/>
              </w:rPr>
              <w:t>大学英语</w:t>
            </w:r>
            <w:r>
              <w:rPr>
                <w:sz w:val="18"/>
                <w:szCs w:val="18"/>
              </w:rPr>
              <w:fldChar w:fldCharType="begin"/>
            </w:r>
            <w:r>
              <w:rPr>
                <w:sz w:val="18"/>
                <w:szCs w:val="18"/>
              </w:rPr>
              <w:instrText xml:space="preserve"> </w:instrText>
            </w:r>
            <w:r>
              <w:rPr>
                <w:rFonts w:hint="eastAsia"/>
                <w:sz w:val="18"/>
                <w:szCs w:val="18"/>
              </w:rPr>
              <w:instrText xml:space="preserve">= 1 \* ROMAN</w:instrText>
            </w:r>
            <w:r>
              <w:rPr>
                <w:sz w:val="18"/>
                <w:szCs w:val="18"/>
              </w:rPr>
              <w:instrText xml:space="preserve"> </w:instrText>
            </w:r>
            <w:r>
              <w:rPr>
                <w:sz w:val="18"/>
                <w:szCs w:val="18"/>
              </w:rPr>
              <w:fldChar w:fldCharType="separate"/>
            </w:r>
            <w:r>
              <w:rPr>
                <w:sz w:val="18"/>
                <w:szCs w:val="18"/>
              </w:rPr>
              <w:t>I</w:t>
            </w:r>
            <w:r>
              <w:rPr>
                <w:sz w:val="18"/>
                <w:szCs w:val="18"/>
              </w:rPr>
              <w:fldChar w:fldCharType="end"/>
            </w:r>
          </w:p>
        </w:tc>
        <w:tc>
          <w:tcPr>
            <w:tcW w:w="504" w:type="dxa"/>
            <w:vAlign w:val="center"/>
          </w:tcPr>
          <w:p>
            <w:pPr>
              <w:snapToGrid w:val="0"/>
              <w:ind w:left="-5" w:firstLine="3" w:firstLineChars="2"/>
              <w:jc w:val="center"/>
              <w:rPr>
                <w:rFonts w:hint="eastAsia"/>
                <w:sz w:val="18"/>
                <w:szCs w:val="18"/>
              </w:rPr>
            </w:pPr>
            <w:r>
              <w:rPr>
                <w:rFonts w:hint="eastAsia"/>
                <w:sz w:val="18"/>
                <w:szCs w:val="18"/>
              </w:rPr>
              <w:t>48</w:t>
            </w:r>
          </w:p>
        </w:tc>
        <w:tc>
          <w:tcPr>
            <w:tcW w:w="494"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4</w:t>
            </w:r>
          </w:p>
        </w:tc>
        <w:tc>
          <w:tcPr>
            <w:tcW w:w="459"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4</w:t>
            </w:r>
          </w:p>
        </w:tc>
        <w:tc>
          <w:tcPr>
            <w:tcW w:w="527" w:type="dxa"/>
            <w:vAlign w:val="center"/>
          </w:tcPr>
          <w:p>
            <w:pPr>
              <w:snapToGrid w:val="0"/>
              <w:ind w:left="-5" w:firstLine="3" w:firstLineChars="2"/>
              <w:jc w:val="center"/>
              <w:rPr>
                <w:rFonts w:hint="eastAsia"/>
                <w:sz w:val="18"/>
                <w:szCs w:val="18"/>
              </w:rPr>
            </w:pPr>
            <w:r>
              <w:rPr>
                <w:rFonts w:hint="eastAsia"/>
                <w:sz w:val="18"/>
                <w:szCs w:val="18"/>
              </w:rPr>
              <w:t>3</w:t>
            </w:r>
          </w:p>
        </w:tc>
        <w:tc>
          <w:tcPr>
            <w:tcW w:w="422" w:type="dxa"/>
            <w:vAlign w:val="center"/>
          </w:tcPr>
          <w:p>
            <w:pPr>
              <w:snapToGrid w:val="0"/>
              <w:ind w:left="-5" w:firstLine="3" w:firstLineChars="2"/>
              <w:jc w:val="center"/>
              <w:rPr>
                <w:rFonts w:hint="eastAsia"/>
                <w:sz w:val="18"/>
                <w:szCs w:val="18"/>
              </w:rPr>
            </w:pPr>
            <w:r>
              <w:rPr>
                <w:rFonts w:hint="eastAsia"/>
                <w:sz w:val="18"/>
                <w:szCs w:val="18"/>
              </w:rPr>
              <w:t>3</w:t>
            </w: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rFonts w:hint="eastAsia"/>
                <w:sz w:val="18"/>
                <w:szCs w:val="18"/>
              </w:rPr>
            </w:pPr>
            <w:r>
              <w:rPr>
                <w:sz w:val="18"/>
                <w:szCs w:val="18"/>
              </w:rPr>
              <w:t>C021004</w:t>
            </w:r>
          </w:p>
        </w:tc>
        <w:tc>
          <w:tcPr>
            <w:tcW w:w="2219" w:type="dxa"/>
            <w:vAlign w:val="center"/>
          </w:tcPr>
          <w:p>
            <w:pPr>
              <w:snapToGrid w:val="0"/>
              <w:rPr>
                <w:rFonts w:hint="eastAsia"/>
                <w:sz w:val="18"/>
                <w:szCs w:val="18"/>
              </w:rPr>
            </w:pPr>
            <w:r>
              <w:rPr>
                <w:rFonts w:hint="eastAsia"/>
                <w:sz w:val="18"/>
                <w:szCs w:val="18"/>
              </w:rPr>
              <w:t>信息技术</w:t>
            </w:r>
          </w:p>
        </w:tc>
        <w:tc>
          <w:tcPr>
            <w:tcW w:w="504" w:type="dxa"/>
            <w:vAlign w:val="center"/>
          </w:tcPr>
          <w:p>
            <w:pPr>
              <w:snapToGrid w:val="0"/>
              <w:ind w:left="-5" w:firstLine="3" w:firstLineChars="2"/>
              <w:jc w:val="center"/>
              <w:rPr>
                <w:rFonts w:hint="eastAsia"/>
                <w:sz w:val="18"/>
                <w:szCs w:val="18"/>
              </w:rPr>
            </w:pPr>
            <w:r>
              <w:rPr>
                <w:sz w:val="18"/>
                <w:szCs w:val="18"/>
              </w:rPr>
              <w:t>48</w:t>
            </w:r>
          </w:p>
        </w:tc>
        <w:tc>
          <w:tcPr>
            <w:tcW w:w="494" w:type="dxa"/>
            <w:vAlign w:val="center"/>
          </w:tcPr>
          <w:p>
            <w:pPr>
              <w:snapToGrid w:val="0"/>
              <w:ind w:left="-5" w:firstLine="3" w:firstLineChars="2"/>
              <w:jc w:val="center"/>
              <w:rPr>
                <w:rFonts w:hint="eastAsia"/>
                <w:sz w:val="18"/>
                <w:szCs w:val="18"/>
              </w:rPr>
            </w:pPr>
            <w:r>
              <w:rPr>
                <w:sz w:val="18"/>
                <w:szCs w:val="18"/>
              </w:rPr>
              <w:t>12</w:t>
            </w:r>
          </w:p>
        </w:tc>
        <w:tc>
          <w:tcPr>
            <w:tcW w:w="459" w:type="dxa"/>
            <w:vAlign w:val="center"/>
          </w:tcPr>
          <w:p>
            <w:pPr>
              <w:snapToGrid w:val="0"/>
              <w:ind w:left="-5" w:firstLine="3" w:firstLineChars="2"/>
              <w:jc w:val="center"/>
              <w:rPr>
                <w:rFonts w:hint="eastAsia"/>
                <w:sz w:val="18"/>
                <w:szCs w:val="18"/>
              </w:rPr>
            </w:pPr>
            <w:r>
              <w:rPr>
                <w:sz w:val="18"/>
                <w:szCs w:val="18"/>
              </w:rPr>
              <w:t>36</w:t>
            </w:r>
          </w:p>
        </w:tc>
        <w:tc>
          <w:tcPr>
            <w:tcW w:w="527" w:type="dxa"/>
            <w:vAlign w:val="center"/>
          </w:tcPr>
          <w:p>
            <w:pPr>
              <w:snapToGrid w:val="0"/>
              <w:ind w:left="-5" w:firstLine="3" w:firstLineChars="2"/>
              <w:jc w:val="center"/>
              <w:rPr>
                <w:rFonts w:hint="eastAsia"/>
                <w:sz w:val="18"/>
                <w:szCs w:val="18"/>
              </w:rPr>
            </w:pPr>
            <w:r>
              <w:rPr>
                <w:sz w:val="18"/>
                <w:szCs w:val="18"/>
              </w:rPr>
              <w:t>3</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r>
              <w:rPr>
                <w:rFonts w:hint="eastAsia"/>
                <w:sz w:val="18"/>
                <w:szCs w:val="18"/>
              </w:rPr>
              <w:t>4</w:t>
            </w: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rFonts w:hint="eastAsia"/>
                <w:sz w:val="18"/>
                <w:szCs w:val="18"/>
              </w:rPr>
            </w:pPr>
            <w:r>
              <w:rPr>
                <w:sz w:val="18"/>
                <w:szCs w:val="18"/>
              </w:rPr>
              <w:t>C111003</w:t>
            </w:r>
          </w:p>
        </w:tc>
        <w:tc>
          <w:tcPr>
            <w:tcW w:w="2219" w:type="dxa"/>
            <w:vAlign w:val="center"/>
          </w:tcPr>
          <w:p>
            <w:pPr>
              <w:snapToGrid w:val="0"/>
              <w:ind w:left="-5" w:firstLine="3" w:firstLineChars="2"/>
              <w:rPr>
                <w:rFonts w:hint="eastAsia"/>
                <w:sz w:val="18"/>
                <w:szCs w:val="18"/>
              </w:rPr>
            </w:pPr>
            <w:r>
              <w:rPr>
                <w:rFonts w:hint="eastAsia"/>
                <w:sz w:val="18"/>
                <w:szCs w:val="18"/>
              </w:rPr>
              <w:t>经济数学</w:t>
            </w:r>
          </w:p>
        </w:tc>
        <w:tc>
          <w:tcPr>
            <w:tcW w:w="504" w:type="dxa"/>
            <w:vAlign w:val="center"/>
          </w:tcPr>
          <w:p>
            <w:pPr>
              <w:snapToGrid w:val="0"/>
              <w:ind w:left="-5" w:firstLine="3" w:firstLineChars="2"/>
              <w:jc w:val="center"/>
              <w:rPr>
                <w:rFonts w:hint="eastAsia"/>
                <w:sz w:val="18"/>
                <w:szCs w:val="18"/>
              </w:rPr>
            </w:pPr>
            <w:r>
              <w:rPr>
                <w:sz w:val="18"/>
                <w:szCs w:val="18"/>
              </w:rPr>
              <w:t>48</w:t>
            </w:r>
          </w:p>
        </w:tc>
        <w:tc>
          <w:tcPr>
            <w:tcW w:w="494" w:type="dxa"/>
            <w:vAlign w:val="center"/>
          </w:tcPr>
          <w:p>
            <w:pPr>
              <w:snapToGrid w:val="0"/>
              <w:ind w:left="-5" w:firstLine="3" w:firstLineChars="2"/>
              <w:jc w:val="center"/>
              <w:rPr>
                <w:rFonts w:hint="eastAsia"/>
                <w:sz w:val="18"/>
                <w:szCs w:val="18"/>
              </w:rPr>
            </w:pPr>
            <w:r>
              <w:rPr>
                <w:rFonts w:hint="eastAsia"/>
                <w:sz w:val="18"/>
                <w:szCs w:val="18"/>
              </w:rPr>
              <w:t>4</w:t>
            </w:r>
            <w:r>
              <w:rPr>
                <w:sz w:val="18"/>
                <w:szCs w:val="18"/>
              </w:rPr>
              <w:t>8</w:t>
            </w:r>
          </w:p>
        </w:tc>
        <w:tc>
          <w:tcPr>
            <w:tcW w:w="459" w:type="dxa"/>
            <w:vAlign w:val="center"/>
          </w:tcPr>
          <w:p>
            <w:pPr>
              <w:snapToGrid w:val="0"/>
              <w:ind w:left="-5" w:firstLine="3" w:firstLineChars="2"/>
              <w:jc w:val="center"/>
              <w:rPr>
                <w:rFonts w:hint="eastAsia"/>
                <w:sz w:val="18"/>
                <w:szCs w:val="18"/>
              </w:rPr>
            </w:pPr>
            <w:r>
              <w:rPr>
                <w:rFonts w:hint="eastAsia"/>
                <w:sz w:val="18"/>
                <w:szCs w:val="18"/>
              </w:rPr>
              <w:t>0</w:t>
            </w:r>
          </w:p>
        </w:tc>
        <w:tc>
          <w:tcPr>
            <w:tcW w:w="527" w:type="dxa"/>
            <w:vAlign w:val="center"/>
          </w:tcPr>
          <w:p>
            <w:pPr>
              <w:snapToGrid w:val="0"/>
              <w:ind w:left="-5" w:firstLine="3" w:firstLineChars="2"/>
              <w:jc w:val="center"/>
              <w:rPr>
                <w:rFonts w:hint="eastAsia"/>
                <w:sz w:val="18"/>
                <w:szCs w:val="18"/>
              </w:rPr>
            </w:pPr>
            <w:r>
              <w:rPr>
                <w:sz w:val="18"/>
                <w:szCs w:val="18"/>
              </w:rPr>
              <w:t>3</w:t>
            </w:r>
          </w:p>
        </w:tc>
        <w:tc>
          <w:tcPr>
            <w:tcW w:w="422" w:type="dxa"/>
            <w:vAlign w:val="center"/>
          </w:tcPr>
          <w:p>
            <w:pPr>
              <w:snapToGrid w:val="0"/>
              <w:ind w:left="-5" w:firstLine="3" w:firstLineChars="2"/>
              <w:jc w:val="center"/>
              <w:rPr>
                <w:rFonts w:hint="eastAsia" w:eastAsia="宋体"/>
                <w:sz w:val="18"/>
                <w:szCs w:val="18"/>
                <w:lang w:eastAsia="zh-CN"/>
              </w:rPr>
            </w:pPr>
            <w:r>
              <w:rPr>
                <w:rFonts w:hint="eastAsia"/>
                <w:sz w:val="18"/>
                <w:szCs w:val="18"/>
                <w:lang w:val="en-US" w:eastAsia="zh-CN"/>
              </w:rPr>
              <w:t>3</w:t>
            </w: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sz w:val="18"/>
                <w:szCs w:val="18"/>
              </w:rPr>
            </w:pPr>
            <w:r>
              <w:rPr>
                <w:sz w:val="18"/>
                <w:szCs w:val="18"/>
              </w:rPr>
              <w:t>C131001</w:t>
            </w:r>
          </w:p>
        </w:tc>
        <w:tc>
          <w:tcPr>
            <w:tcW w:w="2219" w:type="dxa"/>
            <w:vAlign w:val="center"/>
          </w:tcPr>
          <w:p>
            <w:pPr>
              <w:snapToGrid w:val="0"/>
              <w:ind w:left="-5" w:firstLine="3" w:firstLineChars="2"/>
              <w:rPr>
                <w:rFonts w:hint="eastAsia"/>
                <w:sz w:val="18"/>
                <w:szCs w:val="18"/>
              </w:rPr>
            </w:pPr>
            <w:r>
              <w:rPr>
                <w:rFonts w:hint="eastAsia"/>
                <w:sz w:val="18"/>
                <w:szCs w:val="18"/>
              </w:rPr>
              <w:t>专业认知与职业前瞻教育</w:t>
            </w:r>
          </w:p>
        </w:tc>
        <w:tc>
          <w:tcPr>
            <w:tcW w:w="504" w:type="dxa"/>
            <w:vAlign w:val="center"/>
          </w:tcPr>
          <w:p>
            <w:pPr>
              <w:snapToGrid w:val="0"/>
              <w:ind w:left="-5" w:firstLine="3" w:firstLineChars="2"/>
              <w:jc w:val="center"/>
              <w:rPr>
                <w:rFonts w:hint="eastAsia"/>
                <w:sz w:val="18"/>
                <w:szCs w:val="18"/>
              </w:rPr>
            </w:pPr>
            <w:r>
              <w:rPr>
                <w:rFonts w:hint="eastAsia"/>
                <w:sz w:val="18"/>
                <w:szCs w:val="18"/>
              </w:rPr>
              <w:t>8</w:t>
            </w:r>
          </w:p>
        </w:tc>
        <w:tc>
          <w:tcPr>
            <w:tcW w:w="494" w:type="dxa"/>
            <w:vAlign w:val="center"/>
          </w:tcPr>
          <w:p>
            <w:pPr>
              <w:snapToGrid w:val="0"/>
              <w:ind w:left="-5" w:firstLine="3" w:firstLineChars="2"/>
              <w:jc w:val="center"/>
              <w:rPr>
                <w:rFonts w:hint="eastAsia"/>
                <w:sz w:val="18"/>
                <w:szCs w:val="18"/>
              </w:rPr>
            </w:pPr>
            <w:r>
              <w:rPr>
                <w:rFonts w:hint="eastAsia"/>
                <w:sz w:val="18"/>
                <w:szCs w:val="18"/>
              </w:rPr>
              <w:t>8</w:t>
            </w:r>
          </w:p>
        </w:tc>
        <w:tc>
          <w:tcPr>
            <w:tcW w:w="459" w:type="dxa"/>
            <w:vAlign w:val="center"/>
          </w:tcPr>
          <w:p>
            <w:pPr>
              <w:snapToGrid w:val="0"/>
              <w:ind w:left="-5" w:firstLine="3" w:firstLineChars="2"/>
              <w:jc w:val="center"/>
              <w:rPr>
                <w:rFonts w:hint="eastAsia"/>
                <w:sz w:val="18"/>
                <w:szCs w:val="18"/>
              </w:rPr>
            </w:pPr>
            <w:r>
              <w:rPr>
                <w:rFonts w:hint="eastAsia"/>
                <w:sz w:val="18"/>
                <w:szCs w:val="18"/>
              </w:rPr>
              <w:t>0</w:t>
            </w:r>
          </w:p>
        </w:tc>
        <w:tc>
          <w:tcPr>
            <w:tcW w:w="527" w:type="dxa"/>
            <w:vAlign w:val="center"/>
          </w:tcPr>
          <w:p>
            <w:pPr>
              <w:snapToGrid w:val="0"/>
              <w:ind w:left="-5" w:firstLine="3" w:firstLineChars="2"/>
              <w:jc w:val="center"/>
              <w:rPr>
                <w:rFonts w:hint="eastAsia"/>
                <w:sz w:val="18"/>
                <w:szCs w:val="18"/>
              </w:rPr>
            </w:pPr>
            <w:r>
              <w:rPr>
                <w:rFonts w:hint="eastAsia"/>
                <w:sz w:val="18"/>
                <w:szCs w:val="18"/>
              </w:rPr>
              <w:t>0.5</w:t>
            </w:r>
          </w:p>
        </w:tc>
        <w:tc>
          <w:tcPr>
            <w:tcW w:w="422" w:type="dxa"/>
            <w:vAlign w:val="center"/>
          </w:tcPr>
          <w:p>
            <w:pPr>
              <w:snapToGrid w:val="0"/>
              <w:ind w:left="-4" w:leftChars="-2" w:firstLine="180" w:firstLineChars="100"/>
              <w:jc w:val="center"/>
              <w:rPr>
                <w:rFonts w:hint="eastAsia"/>
                <w:sz w:val="18"/>
                <w:szCs w:val="18"/>
              </w:rPr>
            </w:pPr>
            <w:r>
              <w:rPr>
                <w:sz w:val="18"/>
                <w:szCs w:val="18"/>
              </w:rPr>
              <w:t>1</w:t>
            </w: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sz w:val="18"/>
                <w:szCs w:val="18"/>
              </w:rPr>
            </w:pPr>
            <w:r>
              <w:rPr>
                <w:sz w:val="18"/>
                <w:szCs w:val="18"/>
              </w:rPr>
              <w:t>C111011</w:t>
            </w:r>
          </w:p>
        </w:tc>
        <w:tc>
          <w:tcPr>
            <w:tcW w:w="2219" w:type="dxa"/>
            <w:vAlign w:val="center"/>
          </w:tcPr>
          <w:p>
            <w:pPr>
              <w:snapToGrid w:val="0"/>
              <w:ind w:left="-5" w:firstLine="3" w:firstLineChars="2"/>
              <w:rPr>
                <w:sz w:val="18"/>
                <w:szCs w:val="18"/>
              </w:rPr>
            </w:pPr>
            <w:r>
              <w:rPr>
                <w:rFonts w:hint="eastAsia"/>
                <w:sz w:val="18"/>
                <w:szCs w:val="18"/>
              </w:rPr>
              <w:t>体育Ⅰ</w:t>
            </w:r>
          </w:p>
        </w:tc>
        <w:tc>
          <w:tcPr>
            <w:tcW w:w="504" w:type="dxa"/>
            <w:vAlign w:val="center"/>
          </w:tcPr>
          <w:p>
            <w:pPr>
              <w:snapToGrid w:val="0"/>
              <w:ind w:left="-5" w:firstLine="3" w:firstLineChars="2"/>
              <w:jc w:val="center"/>
              <w:rPr>
                <w:rFonts w:hint="eastAsia"/>
                <w:sz w:val="18"/>
                <w:szCs w:val="18"/>
              </w:rPr>
            </w:pPr>
            <w:r>
              <w:rPr>
                <w:rFonts w:hint="eastAsia"/>
                <w:sz w:val="18"/>
                <w:szCs w:val="18"/>
              </w:rPr>
              <w:t>30</w:t>
            </w:r>
          </w:p>
        </w:tc>
        <w:tc>
          <w:tcPr>
            <w:tcW w:w="494" w:type="dxa"/>
            <w:vAlign w:val="center"/>
          </w:tcPr>
          <w:p>
            <w:pPr>
              <w:snapToGrid w:val="0"/>
              <w:ind w:left="-5" w:firstLine="3" w:firstLineChars="2"/>
              <w:jc w:val="center"/>
              <w:rPr>
                <w:rFonts w:hint="eastAsia"/>
                <w:sz w:val="18"/>
                <w:szCs w:val="18"/>
              </w:rPr>
            </w:pPr>
            <w:r>
              <w:rPr>
                <w:rFonts w:hint="eastAsia"/>
                <w:sz w:val="18"/>
                <w:szCs w:val="18"/>
              </w:rPr>
              <w:t>0</w:t>
            </w:r>
          </w:p>
        </w:tc>
        <w:tc>
          <w:tcPr>
            <w:tcW w:w="459"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0</w:t>
            </w:r>
          </w:p>
        </w:tc>
        <w:tc>
          <w:tcPr>
            <w:tcW w:w="527" w:type="dxa"/>
            <w:vAlign w:val="center"/>
          </w:tcPr>
          <w:p>
            <w:pPr>
              <w:snapToGrid w:val="0"/>
              <w:ind w:left="-5" w:firstLine="3" w:firstLineChars="2"/>
              <w:jc w:val="center"/>
              <w:rPr>
                <w:rFonts w:hint="eastAsia"/>
                <w:sz w:val="18"/>
                <w:szCs w:val="18"/>
              </w:rPr>
            </w:pPr>
            <w:r>
              <w:rPr>
                <w:rFonts w:hint="eastAsia"/>
                <w:sz w:val="18"/>
                <w:szCs w:val="18"/>
              </w:rPr>
              <w:t>1</w:t>
            </w:r>
          </w:p>
        </w:tc>
        <w:tc>
          <w:tcPr>
            <w:tcW w:w="422" w:type="dxa"/>
            <w:vAlign w:val="center"/>
          </w:tcPr>
          <w:p>
            <w:pPr>
              <w:snapToGrid w:val="0"/>
              <w:ind w:left="-5" w:firstLine="3" w:firstLineChars="2"/>
              <w:jc w:val="center"/>
              <w:rPr>
                <w:sz w:val="18"/>
                <w:szCs w:val="18"/>
              </w:rPr>
            </w:pPr>
            <w:r>
              <w:rPr>
                <w:rFonts w:hint="eastAsia"/>
                <w:sz w:val="18"/>
                <w:szCs w:val="18"/>
              </w:rPr>
              <w:t>2</w:t>
            </w: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sz w:val="18"/>
                <w:szCs w:val="18"/>
              </w:rPr>
            </w:pPr>
            <w:r>
              <w:rPr>
                <w:sz w:val="18"/>
                <w:szCs w:val="18"/>
              </w:rPr>
              <w:t>C111009</w:t>
            </w:r>
          </w:p>
        </w:tc>
        <w:tc>
          <w:tcPr>
            <w:tcW w:w="2219" w:type="dxa"/>
            <w:vAlign w:val="center"/>
          </w:tcPr>
          <w:p>
            <w:pPr>
              <w:snapToGrid w:val="0"/>
              <w:ind w:left="-5" w:firstLine="3" w:firstLineChars="2"/>
              <w:rPr>
                <w:rFonts w:hint="eastAsia" w:eastAsia="宋体"/>
                <w:sz w:val="18"/>
                <w:szCs w:val="18"/>
                <w:lang w:eastAsia="zh-CN"/>
              </w:rPr>
            </w:pPr>
            <w:r>
              <w:rPr>
                <w:rFonts w:hint="eastAsia"/>
                <w:sz w:val="18"/>
                <w:szCs w:val="18"/>
              </w:rPr>
              <w:t>军事</w:t>
            </w:r>
            <w:r>
              <w:rPr>
                <w:rFonts w:hint="eastAsia"/>
                <w:sz w:val="18"/>
                <w:szCs w:val="18"/>
                <w:lang w:eastAsia="zh-CN"/>
              </w:rPr>
              <w:t>理论</w:t>
            </w:r>
          </w:p>
        </w:tc>
        <w:tc>
          <w:tcPr>
            <w:tcW w:w="504" w:type="dxa"/>
            <w:vAlign w:val="center"/>
          </w:tcPr>
          <w:p>
            <w:pPr>
              <w:snapToGrid w:val="0"/>
              <w:ind w:left="-5" w:firstLine="3" w:firstLineChars="2"/>
              <w:jc w:val="center"/>
              <w:rPr>
                <w:rFonts w:hint="eastAsia"/>
                <w:sz w:val="18"/>
                <w:szCs w:val="18"/>
              </w:rPr>
            </w:pPr>
            <w:r>
              <w:rPr>
                <w:rFonts w:hint="eastAsia"/>
                <w:sz w:val="18"/>
                <w:szCs w:val="18"/>
              </w:rPr>
              <w:t>32</w:t>
            </w:r>
          </w:p>
        </w:tc>
        <w:tc>
          <w:tcPr>
            <w:tcW w:w="494"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8</w:t>
            </w:r>
          </w:p>
        </w:tc>
        <w:tc>
          <w:tcPr>
            <w:tcW w:w="459"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4</w:t>
            </w:r>
          </w:p>
        </w:tc>
        <w:tc>
          <w:tcPr>
            <w:tcW w:w="527" w:type="dxa"/>
            <w:vAlign w:val="center"/>
          </w:tcPr>
          <w:p>
            <w:pPr>
              <w:snapToGrid w:val="0"/>
              <w:ind w:left="-5" w:firstLine="3" w:firstLineChars="2"/>
              <w:jc w:val="center"/>
              <w:rPr>
                <w:rFonts w:hint="eastAsia"/>
                <w:sz w:val="18"/>
                <w:szCs w:val="18"/>
              </w:rPr>
            </w:pPr>
            <w:r>
              <w:rPr>
                <w:rFonts w:hint="eastAsia"/>
                <w:sz w:val="18"/>
                <w:szCs w:val="18"/>
              </w:rPr>
              <w:t>2</w:t>
            </w:r>
          </w:p>
        </w:tc>
        <w:tc>
          <w:tcPr>
            <w:tcW w:w="422" w:type="dxa"/>
            <w:vAlign w:val="center"/>
          </w:tcPr>
          <w:p>
            <w:pPr>
              <w:snapToGrid w:val="0"/>
              <w:ind w:left="-5" w:firstLine="3" w:firstLineChars="2"/>
              <w:jc w:val="center"/>
              <w:rPr>
                <w:rFonts w:hint="eastAsia"/>
                <w:sz w:val="18"/>
                <w:szCs w:val="18"/>
              </w:rPr>
            </w:pPr>
            <w:r>
              <w:rPr>
                <w:rFonts w:hint="eastAsia"/>
                <w:sz w:val="18"/>
                <w:szCs w:val="18"/>
              </w:rPr>
              <w:t>2</w:t>
            </w: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rFonts w:hint="eastAsia"/>
                <w:sz w:val="18"/>
                <w:szCs w:val="18"/>
              </w:rPr>
            </w:pPr>
            <w:r>
              <w:rPr>
                <w:sz w:val="18"/>
                <w:szCs w:val="18"/>
              </w:rPr>
              <w:t>C121002</w:t>
            </w:r>
          </w:p>
        </w:tc>
        <w:tc>
          <w:tcPr>
            <w:tcW w:w="2219" w:type="dxa"/>
            <w:vAlign w:val="center"/>
          </w:tcPr>
          <w:p>
            <w:pPr>
              <w:snapToGrid w:val="0"/>
              <w:ind w:left="-5" w:firstLine="3" w:firstLineChars="2"/>
              <w:rPr>
                <w:rFonts w:hint="eastAsia"/>
                <w:sz w:val="18"/>
                <w:szCs w:val="18"/>
              </w:rPr>
            </w:pPr>
            <w:r>
              <w:rPr>
                <w:rFonts w:hint="eastAsia"/>
                <w:sz w:val="18"/>
                <w:szCs w:val="18"/>
              </w:rPr>
              <w:t>思想道德与法治</w:t>
            </w:r>
          </w:p>
        </w:tc>
        <w:tc>
          <w:tcPr>
            <w:tcW w:w="504" w:type="dxa"/>
            <w:vAlign w:val="center"/>
          </w:tcPr>
          <w:p>
            <w:pPr>
              <w:snapToGrid w:val="0"/>
              <w:ind w:left="-5" w:firstLine="3" w:firstLineChars="2"/>
              <w:jc w:val="center"/>
              <w:rPr>
                <w:rFonts w:hint="eastAsia"/>
                <w:sz w:val="18"/>
                <w:szCs w:val="18"/>
              </w:rPr>
            </w:pPr>
            <w:r>
              <w:rPr>
                <w:rFonts w:hint="eastAsia"/>
                <w:sz w:val="18"/>
                <w:szCs w:val="18"/>
              </w:rPr>
              <w:t>48</w:t>
            </w:r>
          </w:p>
        </w:tc>
        <w:tc>
          <w:tcPr>
            <w:tcW w:w="494"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8</w:t>
            </w:r>
          </w:p>
        </w:tc>
        <w:tc>
          <w:tcPr>
            <w:tcW w:w="459"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0</w:t>
            </w:r>
          </w:p>
        </w:tc>
        <w:tc>
          <w:tcPr>
            <w:tcW w:w="527" w:type="dxa"/>
            <w:vAlign w:val="center"/>
          </w:tcPr>
          <w:p>
            <w:pPr>
              <w:snapToGrid w:val="0"/>
              <w:ind w:left="-5" w:firstLine="3" w:firstLineChars="2"/>
              <w:jc w:val="center"/>
              <w:rPr>
                <w:rFonts w:hint="eastAsia"/>
                <w:sz w:val="18"/>
                <w:szCs w:val="18"/>
              </w:rPr>
            </w:pPr>
            <w:r>
              <w:rPr>
                <w:rFonts w:hint="eastAsia"/>
                <w:sz w:val="18"/>
                <w:szCs w:val="18"/>
              </w:rPr>
              <w:t>3</w:t>
            </w:r>
          </w:p>
        </w:tc>
        <w:tc>
          <w:tcPr>
            <w:tcW w:w="422" w:type="dxa"/>
            <w:vAlign w:val="center"/>
          </w:tcPr>
          <w:p>
            <w:pPr>
              <w:snapToGrid w:val="0"/>
              <w:ind w:left="-5" w:firstLine="3" w:firstLineChars="2"/>
              <w:jc w:val="center"/>
              <w:rPr>
                <w:rFonts w:hint="eastAsia"/>
                <w:sz w:val="18"/>
                <w:szCs w:val="18"/>
              </w:rPr>
            </w:pPr>
            <w:r>
              <w:rPr>
                <w:rFonts w:hint="eastAsia"/>
                <w:sz w:val="18"/>
                <w:szCs w:val="18"/>
              </w:rPr>
              <w:t>4</w:t>
            </w: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rFonts w:hint="eastAsia"/>
                <w:sz w:val="18"/>
                <w:szCs w:val="18"/>
              </w:rPr>
            </w:pPr>
            <w:r>
              <w:rPr>
                <w:sz w:val="18"/>
                <w:szCs w:val="18"/>
              </w:rPr>
              <w:t>C113001</w:t>
            </w:r>
          </w:p>
        </w:tc>
        <w:tc>
          <w:tcPr>
            <w:tcW w:w="2219" w:type="dxa"/>
            <w:vAlign w:val="center"/>
          </w:tcPr>
          <w:p>
            <w:pPr>
              <w:snapToGrid w:val="0"/>
              <w:ind w:left="-5" w:firstLine="3" w:firstLineChars="2"/>
              <w:rPr>
                <w:rFonts w:hint="eastAsia" w:eastAsia="宋体"/>
                <w:sz w:val="18"/>
                <w:szCs w:val="18"/>
                <w:lang w:eastAsia="zh-CN"/>
              </w:rPr>
            </w:pPr>
            <w:r>
              <w:rPr>
                <w:rFonts w:hint="eastAsia"/>
                <w:sz w:val="18"/>
                <w:szCs w:val="18"/>
              </w:rPr>
              <w:t>军事</w:t>
            </w:r>
            <w:r>
              <w:rPr>
                <w:rFonts w:hint="eastAsia"/>
                <w:sz w:val="18"/>
                <w:szCs w:val="18"/>
                <w:lang w:eastAsia="zh-CN"/>
              </w:rPr>
              <w:t>技能</w:t>
            </w:r>
          </w:p>
        </w:tc>
        <w:tc>
          <w:tcPr>
            <w:tcW w:w="504" w:type="dxa"/>
            <w:vAlign w:val="center"/>
          </w:tcPr>
          <w:p>
            <w:pPr>
              <w:snapToGrid w:val="0"/>
              <w:ind w:left="-5" w:firstLine="3" w:firstLineChars="2"/>
              <w:jc w:val="center"/>
              <w:rPr>
                <w:rFonts w:hint="eastAsia"/>
                <w:sz w:val="18"/>
                <w:szCs w:val="18"/>
              </w:rPr>
            </w:pPr>
            <w:r>
              <w:rPr>
                <w:rFonts w:hint="eastAsia"/>
                <w:sz w:val="18"/>
                <w:szCs w:val="18"/>
              </w:rPr>
              <w:t>60</w:t>
            </w:r>
          </w:p>
        </w:tc>
        <w:tc>
          <w:tcPr>
            <w:tcW w:w="494" w:type="dxa"/>
            <w:vAlign w:val="center"/>
          </w:tcPr>
          <w:p>
            <w:pPr>
              <w:snapToGrid w:val="0"/>
              <w:ind w:left="-5" w:firstLine="3" w:firstLineChars="2"/>
              <w:jc w:val="center"/>
              <w:rPr>
                <w:rFonts w:hint="eastAsia"/>
                <w:sz w:val="18"/>
                <w:szCs w:val="18"/>
              </w:rPr>
            </w:pPr>
            <w:r>
              <w:rPr>
                <w:rFonts w:hint="eastAsia"/>
                <w:sz w:val="18"/>
                <w:szCs w:val="18"/>
              </w:rPr>
              <w:t>0</w:t>
            </w:r>
          </w:p>
        </w:tc>
        <w:tc>
          <w:tcPr>
            <w:tcW w:w="459" w:type="dxa"/>
            <w:vAlign w:val="center"/>
          </w:tcPr>
          <w:p>
            <w:pPr>
              <w:snapToGrid w:val="0"/>
              <w:ind w:left="-5" w:firstLine="3" w:firstLineChars="2"/>
              <w:jc w:val="center"/>
              <w:rPr>
                <w:rFonts w:hint="eastAsia"/>
                <w:sz w:val="18"/>
                <w:szCs w:val="18"/>
              </w:rPr>
            </w:pPr>
            <w:r>
              <w:rPr>
                <w:rFonts w:hint="eastAsia"/>
                <w:sz w:val="18"/>
                <w:szCs w:val="18"/>
              </w:rPr>
              <w:t>6</w:t>
            </w:r>
            <w:r>
              <w:rPr>
                <w:sz w:val="18"/>
                <w:szCs w:val="18"/>
              </w:rPr>
              <w:t>0</w:t>
            </w:r>
          </w:p>
        </w:tc>
        <w:tc>
          <w:tcPr>
            <w:tcW w:w="527" w:type="dxa"/>
            <w:vAlign w:val="center"/>
          </w:tcPr>
          <w:p>
            <w:pPr>
              <w:snapToGrid w:val="0"/>
              <w:ind w:left="-5" w:firstLine="3" w:firstLineChars="2"/>
              <w:jc w:val="center"/>
              <w:rPr>
                <w:rFonts w:hint="eastAsia"/>
                <w:sz w:val="18"/>
                <w:szCs w:val="18"/>
              </w:rPr>
            </w:pPr>
            <w:r>
              <w:rPr>
                <w:rFonts w:hint="eastAsia"/>
                <w:sz w:val="18"/>
                <w:szCs w:val="18"/>
              </w:rPr>
              <w:t>2</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30</w:t>
            </w: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rFonts w:hint="eastAsia"/>
                <w:sz w:val="18"/>
                <w:szCs w:val="18"/>
              </w:rPr>
            </w:pPr>
            <w:r>
              <w:rPr>
                <w:sz w:val="18"/>
                <w:szCs w:val="18"/>
              </w:rPr>
              <w:t>C111012</w:t>
            </w:r>
          </w:p>
        </w:tc>
        <w:tc>
          <w:tcPr>
            <w:tcW w:w="2219" w:type="dxa"/>
            <w:vAlign w:val="center"/>
          </w:tcPr>
          <w:p>
            <w:pPr>
              <w:snapToGrid w:val="0"/>
              <w:ind w:left="-5" w:firstLine="3" w:firstLineChars="2"/>
              <w:rPr>
                <w:rFonts w:hint="eastAsia"/>
                <w:sz w:val="18"/>
                <w:szCs w:val="18"/>
              </w:rPr>
            </w:pPr>
            <w:r>
              <w:rPr>
                <w:rFonts w:hint="eastAsia"/>
                <w:sz w:val="18"/>
                <w:szCs w:val="18"/>
              </w:rPr>
              <w:t>体育Ⅱ</w:t>
            </w:r>
          </w:p>
        </w:tc>
        <w:tc>
          <w:tcPr>
            <w:tcW w:w="504" w:type="dxa"/>
            <w:vAlign w:val="center"/>
          </w:tcPr>
          <w:p>
            <w:pPr>
              <w:snapToGrid w:val="0"/>
              <w:ind w:left="-5" w:firstLine="3" w:firstLineChars="2"/>
              <w:jc w:val="center"/>
              <w:rPr>
                <w:rFonts w:hint="eastAsia"/>
                <w:sz w:val="18"/>
                <w:szCs w:val="18"/>
              </w:rPr>
            </w:pPr>
            <w:r>
              <w:rPr>
                <w:rFonts w:hint="eastAsia"/>
                <w:sz w:val="18"/>
                <w:szCs w:val="18"/>
              </w:rPr>
              <w:t>30</w:t>
            </w:r>
          </w:p>
        </w:tc>
        <w:tc>
          <w:tcPr>
            <w:tcW w:w="494" w:type="dxa"/>
            <w:vAlign w:val="center"/>
          </w:tcPr>
          <w:p>
            <w:pPr>
              <w:snapToGrid w:val="0"/>
              <w:ind w:left="-5" w:firstLine="3" w:firstLineChars="2"/>
              <w:jc w:val="center"/>
              <w:rPr>
                <w:rFonts w:hint="eastAsia"/>
                <w:sz w:val="18"/>
                <w:szCs w:val="18"/>
              </w:rPr>
            </w:pPr>
            <w:r>
              <w:rPr>
                <w:rFonts w:hint="eastAsia"/>
                <w:sz w:val="18"/>
                <w:szCs w:val="18"/>
              </w:rPr>
              <w:t>0</w:t>
            </w:r>
          </w:p>
        </w:tc>
        <w:tc>
          <w:tcPr>
            <w:tcW w:w="459"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0</w:t>
            </w:r>
          </w:p>
        </w:tc>
        <w:tc>
          <w:tcPr>
            <w:tcW w:w="527" w:type="dxa"/>
            <w:vAlign w:val="center"/>
          </w:tcPr>
          <w:p>
            <w:pPr>
              <w:snapToGrid w:val="0"/>
              <w:ind w:left="-5" w:firstLine="3" w:firstLineChars="2"/>
              <w:jc w:val="center"/>
              <w:rPr>
                <w:rFonts w:hint="eastAsia"/>
                <w:sz w:val="18"/>
                <w:szCs w:val="18"/>
              </w:rPr>
            </w:pPr>
            <w:r>
              <w:rPr>
                <w:rFonts w:hint="eastAsia"/>
                <w:sz w:val="18"/>
                <w:szCs w:val="18"/>
              </w:rPr>
              <w:t>1</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r>
              <w:rPr>
                <w:rFonts w:hint="eastAsia"/>
                <w:sz w:val="18"/>
                <w:szCs w:val="18"/>
              </w:rPr>
              <w:t>2</w:t>
            </w: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rFonts w:hint="eastAsia"/>
                <w:sz w:val="18"/>
                <w:szCs w:val="18"/>
              </w:rPr>
            </w:pPr>
            <w:r>
              <w:rPr>
                <w:sz w:val="18"/>
                <w:szCs w:val="18"/>
              </w:rPr>
              <w:t>C061002</w:t>
            </w:r>
          </w:p>
        </w:tc>
        <w:tc>
          <w:tcPr>
            <w:tcW w:w="2219" w:type="dxa"/>
            <w:vAlign w:val="center"/>
          </w:tcPr>
          <w:p>
            <w:pPr>
              <w:snapToGrid w:val="0"/>
              <w:ind w:left="-5" w:firstLine="3" w:firstLineChars="2"/>
              <w:rPr>
                <w:rFonts w:hint="eastAsia"/>
                <w:sz w:val="18"/>
                <w:szCs w:val="18"/>
              </w:rPr>
            </w:pPr>
            <w:r>
              <w:rPr>
                <w:rFonts w:hint="eastAsia"/>
                <w:sz w:val="18"/>
                <w:szCs w:val="18"/>
              </w:rPr>
              <w:t>大学英语Ⅱ</w:t>
            </w:r>
          </w:p>
        </w:tc>
        <w:tc>
          <w:tcPr>
            <w:tcW w:w="504" w:type="dxa"/>
            <w:vAlign w:val="center"/>
          </w:tcPr>
          <w:p>
            <w:pPr>
              <w:snapToGrid w:val="0"/>
              <w:ind w:left="-5" w:firstLine="3" w:firstLineChars="2"/>
              <w:jc w:val="center"/>
              <w:rPr>
                <w:rFonts w:hint="eastAsia"/>
                <w:sz w:val="18"/>
                <w:szCs w:val="18"/>
              </w:rPr>
            </w:pPr>
            <w:r>
              <w:rPr>
                <w:rFonts w:hint="eastAsia"/>
                <w:sz w:val="18"/>
                <w:szCs w:val="18"/>
              </w:rPr>
              <w:t>48</w:t>
            </w:r>
          </w:p>
        </w:tc>
        <w:tc>
          <w:tcPr>
            <w:tcW w:w="494"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4</w:t>
            </w:r>
          </w:p>
        </w:tc>
        <w:tc>
          <w:tcPr>
            <w:tcW w:w="459" w:type="dxa"/>
            <w:vAlign w:val="center"/>
          </w:tcPr>
          <w:p>
            <w:pPr>
              <w:snapToGrid w:val="0"/>
              <w:ind w:left="-5" w:firstLine="3" w:firstLineChars="2"/>
              <w:jc w:val="center"/>
              <w:rPr>
                <w:rFonts w:hint="eastAsia"/>
                <w:sz w:val="18"/>
                <w:szCs w:val="18"/>
              </w:rPr>
            </w:pPr>
            <w:r>
              <w:rPr>
                <w:sz w:val="18"/>
                <w:szCs w:val="18"/>
              </w:rPr>
              <w:t>14</w:t>
            </w:r>
          </w:p>
        </w:tc>
        <w:tc>
          <w:tcPr>
            <w:tcW w:w="527" w:type="dxa"/>
            <w:vAlign w:val="center"/>
          </w:tcPr>
          <w:p>
            <w:pPr>
              <w:snapToGrid w:val="0"/>
              <w:ind w:left="-5" w:firstLine="3" w:firstLineChars="2"/>
              <w:jc w:val="center"/>
              <w:rPr>
                <w:rFonts w:hint="eastAsia"/>
                <w:sz w:val="18"/>
                <w:szCs w:val="18"/>
              </w:rPr>
            </w:pPr>
            <w:r>
              <w:rPr>
                <w:rFonts w:hint="eastAsia"/>
                <w:sz w:val="18"/>
                <w:szCs w:val="18"/>
              </w:rPr>
              <w:t>3</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r>
              <w:rPr>
                <w:rFonts w:hint="eastAsia"/>
                <w:sz w:val="18"/>
                <w:szCs w:val="18"/>
              </w:rPr>
              <w:t>3</w:t>
            </w: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leftChars="0" w:firstLine="3" w:firstLineChars="2"/>
              <w:rPr>
                <w:rFonts w:hint="eastAsia"/>
                <w:sz w:val="18"/>
                <w:szCs w:val="18"/>
              </w:rPr>
            </w:pPr>
            <w:r>
              <w:rPr>
                <w:sz w:val="18"/>
                <w:szCs w:val="18"/>
              </w:rPr>
              <w:t>C121001</w:t>
            </w:r>
          </w:p>
        </w:tc>
        <w:tc>
          <w:tcPr>
            <w:tcW w:w="2219" w:type="dxa"/>
            <w:vAlign w:val="center"/>
          </w:tcPr>
          <w:p>
            <w:pPr>
              <w:snapToGrid w:val="0"/>
              <w:ind w:left="-5" w:leftChars="0" w:firstLine="3" w:firstLineChars="2"/>
              <w:rPr>
                <w:rFonts w:hint="eastAsia"/>
                <w:sz w:val="18"/>
                <w:szCs w:val="18"/>
              </w:rPr>
            </w:pPr>
            <w:r>
              <w:rPr>
                <w:rFonts w:hint="eastAsia"/>
                <w:sz w:val="18"/>
                <w:szCs w:val="18"/>
              </w:rPr>
              <w:t>毛泽东思想和中国特色社会主义理论体系概论</w:t>
            </w:r>
          </w:p>
        </w:tc>
        <w:tc>
          <w:tcPr>
            <w:tcW w:w="504"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32</w:t>
            </w:r>
          </w:p>
        </w:tc>
        <w:tc>
          <w:tcPr>
            <w:tcW w:w="494"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2</w:t>
            </w:r>
            <w:r>
              <w:rPr>
                <w:sz w:val="18"/>
                <w:szCs w:val="18"/>
              </w:rPr>
              <w:t>8</w:t>
            </w:r>
          </w:p>
        </w:tc>
        <w:tc>
          <w:tcPr>
            <w:tcW w:w="459"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4</w:t>
            </w:r>
          </w:p>
        </w:tc>
        <w:tc>
          <w:tcPr>
            <w:tcW w:w="527"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2</w:t>
            </w:r>
          </w:p>
        </w:tc>
        <w:tc>
          <w:tcPr>
            <w:tcW w:w="422" w:type="dxa"/>
            <w:vAlign w:val="center"/>
          </w:tcPr>
          <w:p>
            <w:pPr>
              <w:snapToGrid w:val="0"/>
              <w:ind w:left="-5" w:leftChars="0" w:firstLine="3" w:firstLineChars="2"/>
              <w:jc w:val="center"/>
              <w:rPr>
                <w:rFonts w:hint="eastAsia" w:eastAsia="宋体"/>
                <w:sz w:val="18"/>
                <w:szCs w:val="18"/>
                <w:lang w:val="en-US" w:eastAsia="zh-CN"/>
              </w:rPr>
            </w:pPr>
            <w:r>
              <w:rPr>
                <w:rFonts w:hint="eastAsia"/>
                <w:sz w:val="18"/>
                <w:szCs w:val="18"/>
                <w:lang w:val="en-US" w:eastAsia="zh-CN"/>
              </w:rPr>
              <w:t>4</w:t>
            </w:r>
          </w:p>
        </w:tc>
        <w:tc>
          <w:tcPr>
            <w:tcW w:w="380" w:type="dxa"/>
            <w:vAlign w:val="center"/>
          </w:tcPr>
          <w:p>
            <w:pPr>
              <w:snapToGrid w:val="0"/>
              <w:ind w:left="-5" w:leftChars="0" w:firstLine="3" w:firstLineChars="2"/>
              <w:jc w:val="center"/>
              <w:rPr>
                <w:rFonts w:hint="eastAsia"/>
                <w:sz w:val="18"/>
                <w:szCs w:val="18"/>
              </w:rPr>
            </w:pPr>
          </w:p>
        </w:tc>
        <w:tc>
          <w:tcPr>
            <w:tcW w:w="402" w:type="dxa"/>
            <w:vAlign w:val="center"/>
          </w:tcPr>
          <w:p>
            <w:pPr>
              <w:snapToGrid w:val="0"/>
              <w:ind w:left="-5" w:leftChars="0" w:firstLine="3" w:firstLineChars="2"/>
              <w:jc w:val="center"/>
              <w:rPr>
                <w:rFonts w:hint="eastAsia"/>
                <w:sz w:val="18"/>
                <w:szCs w:val="18"/>
              </w:rPr>
            </w:pPr>
          </w:p>
        </w:tc>
        <w:tc>
          <w:tcPr>
            <w:tcW w:w="380" w:type="dxa"/>
            <w:vAlign w:val="center"/>
          </w:tcPr>
          <w:p>
            <w:pPr>
              <w:snapToGrid w:val="0"/>
              <w:ind w:left="-5" w:leftChars="0" w:firstLine="3" w:firstLineChars="2"/>
              <w:jc w:val="center"/>
              <w:rPr>
                <w:rFonts w:hint="eastAsia"/>
                <w:sz w:val="18"/>
                <w:szCs w:val="18"/>
              </w:rPr>
            </w:pPr>
          </w:p>
        </w:tc>
        <w:tc>
          <w:tcPr>
            <w:tcW w:w="380" w:type="dxa"/>
            <w:vAlign w:val="center"/>
          </w:tcPr>
          <w:p>
            <w:pPr>
              <w:snapToGrid w:val="0"/>
              <w:ind w:left="-5" w:leftChars="0" w:firstLine="3" w:firstLineChars="2"/>
              <w:jc w:val="center"/>
              <w:rPr>
                <w:rFonts w:hint="eastAsia"/>
                <w:sz w:val="18"/>
                <w:szCs w:val="18"/>
              </w:rPr>
            </w:pPr>
          </w:p>
        </w:tc>
        <w:tc>
          <w:tcPr>
            <w:tcW w:w="380" w:type="dxa"/>
            <w:tcBorders>
              <w:right w:val="single" w:color="auto" w:sz="4" w:space="0"/>
            </w:tcBorders>
            <w:vAlign w:val="center"/>
          </w:tcPr>
          <w:p>
            <w:pPr>
              <w:snapToGrid w:val="0"/>
              <w:ind w:left="-5" w:leftChars="0" w:firstLine="3" w:firstLineChars="2"/>
              <w:jc w:val="center"/>
              <w:rPr>
                <w:sz w:val="18"/>
                <w:szCs w:val="18"/>
              </w:rPr>
            </w:pPr>
          </w:p>
        </w:tc>
        <w:tc>
          <w:tcPr>
            <w:tcW w:w="446" w:type="dxa"/>
            <w:gridSpan w:val="2"/>
            <w:tcBorders>
              <w:left w:val="single" w:color="auto" w:sz="4" w:space="0"/>
            </w:tcBorders>
            <w:vAlign w:val="center"/>
          </w:tcPr>
          <w:p>
            <w:pPr>
              <w:snapToGrid w:val="0"/>
              <w:ind w:left="-5" w:leftChars="0"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leftChars="0" w:firstLine="3" w:firstLineChars="2"/>
              <w:rPr>
                <w:sz w:val="18"/>
                <w:szCs w:val="18"/>
              </w:rPr>
            </w:pPr>
            <w:r>
              <w:rPr>
                <w:sz w:val="18"/>
                <w:szCs w:val="18"/>
              </w:rPr>
              <w:t>C121023</w:t>
            </w:r>
          </w:p>
        </w:tc>
        <w:tc>
          <w:tcPr>
            <w:tcW w:w="2219" w:type="dxa"/>
            <w:vAlign w:val="center"/>
          </w:tcPr>
          <w:p>
            <w:pPr>
              <w:snapToGrid w:val="0"/>
              <w:ind w:left="-5" w:leftChars="0" w:firstLine="3" w:firstLineChars="2"/>
              <w:rPr>
                <w:rFonts w:hint="eastAsia"/>
                <w:sz w:val="18"/>
                <w:szCs w:val="18"/>
              </w:rPr>
            </w:pPr>
            <w:r>
              <w:rPr>
                <w:sz w:val="18"/>
                <w:szCs w:val="18"/>
              </w:rPr>
              <w:t>习近平新时代中国特色社会主义思想概论</w:t>
            </w:r>
          </w:p>
        </w:tc>
        <w:tc>
          <w:tcPr>
            <w:tcW w:w="504" w:type="dxa"/>
            <w:vAlign w:val="center"/>
          </w:tcPr>
          <w:p>
            <w:pPr>
              <w:snapToGrid w:val="0"/>
              <w:ind w:left="-5" w:leftChars="0" w:firstLine="181" w:firstLineChars="101"/>
              <w:rPr>
                <w:sz w:val="18"/>
                <w:szCs w:val="18"/>
              </w:rPr>
            </w:pPr>
            <w:r>
              <w:rPr>
                <w:rFonts w:hint="eastAsia"/>
                <w:sz w:val="18"/>
                <w:szCs w:val="18"/>
                <w:lang w:val="en-US" w:eastAsia="zh-CN"/>
              </w:rPr>
              <w:t>48</w:t>
            </w:r>
          </w:p>
        </w:tc>
        <w:tc>
          <w:tcPr>
            <w:tcW w:w="494" w:type="dxa"/>
            <w:vAlign w:val="center"/>
          </w:tcPr>
          <w:p>
            <w:pPr>
              <w:snapToGrid w:val="0"/>
              <w:ind w:left="-5" w:leftChars="0" w:firstLine="3" w:firstLineChars="2"/>
              <w:rPr>
                <w:sz w:val="18"/>
                <w:szCs w:val="18"/>
                <w:highlight w:val="yellow"/>
              </w:rPr>
            </w:pPr>
            <w:r>
              <w:rPr>
                <w:rFonts w:hint="eastAsia"/>
                <w:sz w:val="18"/>
                <w:szCs w:val="18"/>
                <w:lang w:val="en-US" w:eastAsia="zh-CN"/>
              </w:rPr>
              <w:t>42</w:t>
            </w:r>
          </w:p>
        </w:tc>
        <w:tc>
          <w:tcPr>
            <w:tcW w:w="459" w:type="dxa"/>
            <w:vAlign w:val="center"/>
          </w:tcPr>
          <w:p>
            <w:pPr>
              <w:snapToGrid w:val="0"/>
              <w:ind w:left="-5" w:leftChars="0" w:firstLine="3" w:firstLineChars="2"/>
              <w:rPr>
                <w:sz w:val="18"/>
                <w:szCs w:val="18"/>
                <w:highlight w:val="yellow"/>
              </w:rPr>
            </w:pPr>
            <w:r>
              <w:rPr>
                <w:rFonts w:hint="eastAsia"/>
                <w:sz w:val="18"/>
                <w:szCs w:val="18"/>
                <w:lang w:val="en-US" w:eastAsia="zh-CN"/>
              </w:rPr>
              <w:t>6</w:t>
            </w:r>
          </w:p>
        </w:tc>
        <w:tc>
          <w:tcPr>
            <w:tcW w:w="527" w:type="dxa"/>
            <w:vAlign w:val="center"/>
          </w:tcPr>
          <w:p>
            <w:pPr>
              <w:snapToGrid w:val="0"/>
              <w:ind w:left="-5" w:leftChars="0" w:firstLine="3" w:firstLineChars="2"/>
              <w:rPr>
                <w:rFonts w:hint="eastAsia"/>
                <w:sz w:val="18"/>
                <w:szCs w:val="18"/>
              </w:rPr>
            </w:pPr>
            <w:r>
              <w:rPr>
                <w:rFonts w:hint="eastAsia"/>
                <w:sz w:val="18"/>
                <w:szCs w:val="18"/>
                <w:lang w:val="en-US" w:eastAsia="zh-CN"/>
              </w:rPr>
              <w:t>3</w:t>
            </w:r>
          </w:p>
        </w:tc>
        <w:tc>
          <w:tcPr>
            <w:tcW w:w="422" w:type="dxa"/>
            <w:vAlign w:val="center"/>
          </w:tcPr>
          <w:p>
            <w:pPr>
              <w:snapToGrid w:val="0"/>
              <w:ind w:left="-5" w:leftChars="0" w:firstLine="3" w:firstLineChars="2"/>
              <w:rPr>
                <w:rFonts w:hint="eastAsia"/>
                <w:sz w:val="18"/>
                <w:szCs w:val="18"/>
              </w:rPr>
            </w:pPr>
          </w:p>
        </w:tc>
        <w:tc>
          <w:tcPr>
            <w:tcW w:w="380" w:type="dxa"/>
            <w:vAlign w:val="center"/>
          </w:tcPr>
          <w:p>
            <w:pPr>
              <w:snapToGrid w:val="0"/>
              <w:ind w:left="-5" w:leftChars="0" w:firstLine="3" w:firstLineChars="2"/>
              <w:rPr>
                <w:sz w:val="18"/>
                <w:szCs w:val="18"/>
                <w:highlight w:val="yellow"/>
              </w:rPr>
            </w:pPr>
            <w:r>
              <w:rPr>
                <w:rFonts w:hint="eastAsia"/>
                <w:sz w:val="18"/>
                <w:szCs w:val="18"/>
                <w:lang w:val="en-US" w:eastAsia="zh-CN"/>
              </w:rPr>
              <w:t>5</w:t>
            </w:r>
          </w:p>
        </w:tc>
        <w:tc>
          <w:tcPr>
            <w:tcW w:w="402" w:type="dxa"/>
            <w:vAlign w:val="center"/>
          </w:tcPr>
          <w:p>
            <w:pPr>
              <w:snapToGrid w:val="0"/>
              <w:ind w:left="-5" w:leftChars="0" w:firstLine="3" w:firstLineChars="2"/>
              <w:rPr>
                <w:rFonts w:hint="eastAsia"/>
                <w:sz w:val="18"/>
                <w:szCs w:val="18"/>
              </w:rPr>
            </w:pPr>
          </w:p>
        </w:tc>
        <w:tc>
          <w:tcPr>
            <w:tcW w:w="380" w:type="dxa"/>
            <w:vAlign w:val="center"/>
          </w:tcPr>
          <w:p>
            <w:pPr>
              <w:snapToGrid w:val="0"/>
              <w:ind w:left="-5" w:leftChars="0" w:firstLine="3" w:firstLineChars="2"/>
              <w:rPr>
                <w:rFonts w:hint="eastAsia"/>
                <w:sz w:val="18"/>
                <w:szCs w:val="18"/>
              </w:rPr>
            </w:pPr>
          </w:p>
        </w:tc>
        <w:tc>
          <w:tcPr>
            <w:tcW w:w="380" w:type="dxa"/>
            <w:vAlign w:val="center"/>
          </w:tcPr>
          <w:p>
            <w:pPr>
              <w:snapToGrid w:val="0"/>
              <w:ind w:left="-5" w:leftChars="0" w:firstLine="3" w:firstLineChars="2"/>
              <w:rPr>
                <w:rFonts w:hint="eastAsia"/>
                <w:sz w:val="18"/>
                <w:szCs w:val="18"/>
              </w:rPr>
            </w:pPr>
          </w:p>
        </w:tc>
        <w:tc>
          <w:tcPr>
            <w:tcW w:w="380" w:type="dxa"/>
            <w:tcBorders>
              <w:right w:val="single" w:color="auto" w:sz="4" w:space="0"/>
            </w:tcBorders>
            <w:vAlign w:val="center"/>
          </w:tcPr>
          <w:p>
            <w:pPr>
              <w:snapToGrid w:val="0"/>
              <w:ind w:left="-5" w:leftChars="0" w:firstLine="3" w:firstLineChars="2"/>
              <w:rPr>
                <w:sz w:val="18"/>
                <w:szCs w:val="18"/>
              </w:rPr>
            </w:pPr>
          </w:p>
        </w:tc>
        <w:tc>
          <w:tcPr>
            <w:tcW w:w="446" w:type="dxa"/>
            <w:gridSpan w:val="2"/>
            <w:tcBorders>
              <w:left w:val="single" w:color="auto" w:sz="4" w:space="0"/>
            </w:tcBorders>
            <w:vAlign w:val="center"/>
          </w:tcPr>
          <w:p>
            <w:pPr>
              <w:snapToGrid w:val="0"/>
              <w:ind w:left="-5" w:leftChars="0" w:firstLine="3" w:firstLineChars="2"/>
              <w:jc w:val="center"/>
              <w:rPr>
                <w:rFonts w:hint="eastAsia"/>
                <w:spacing w:val="-4"/>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leftChars="0" w:firstLine="3" w:firstLineChars="2"/>
              <w:rPr>
                <w:rFonts w:hint="default" w:eastAsia="宋体"/>
                <w:sz w:val="18"/>
                <w:szCs w:val="18"/>
                <w:lang w:val="en-US" w:eastAsia="zh-CN"/>
              </w:rPr>
            </w:pPr>
            <w:r>
              <w:rPr>
                <w:sz w:val="18"/>
                <w:szCs w:val="18"/>
              </w:rPr>
              <w:t>C</w:t>
            </w:r>
            <w:r>
              <w:rPr>
                <w:rFonts w:hint="eastAsia"/>
                <w:sz w:val="18"/>
                <w:szCs w:val="18"/>
                <w:lang w:val="en-US" w:eastAsia="zh-CN"/>
              </w:rPr>
              <w:t>121028</w:t>
            </w:r>
          </w:p>
        </w:tc>
        <w:tc>
          <w:tcPr>
            <w:tcW w:w="2219" w:type="dxa"/>
            <w:vAlign w:val="center"/>
          </w:tcPr>
          <w:p>
            <w:pPr>
              <w:snapToGrid w:val="0"/>
              <w:ind w:left="-5" w:leftChars="0" w:firstLine="3" w:firstLineChars="2"/>
              <w:rPr>
                <w:rFonts w:hint="eastAsia"/>
                <w:sz w:val="18"/>
                <w:szCs w:val="18"/>
              </w:rPr>
            </w:pPr>
            <w:r>
              <w:rPr>
                <w:rFonts w:hint="eastAsia"/>
                <w:sz w:val="18"/>
                <w:szCs w:val="18"/>
                <w:lang w:eastAsia="zh-CN"/>
              </w:rPr>
              <w:t>国家</w:t>
            </w:r>
            <w:r>
              <w:rPr>
                <w:sz w:val="18"/>
                <w:szCs w:val="18"/>
              </w:rPr>
              <w:t>安全教育</w:t>
            </w:r>
          </w:p>
        </w:tc>
        <w:tc>
          <w:tcPr>
            <w:tcW w:w="504" w:type="dxa"/>
            <w:vAlign w:val="center"/>
          </w:tcPr>
          <w:p>
            <w:pPr>
              <w:snapToGrid w:val="0"/>
              <w:ind w:left="-5" w:leftChars="0" w:firstLine="3" w:firstLineChars="2"/>
              <w:jc w:val="center"/>
              <w:rPr>
                <w:sz w:val="18"/>
                <w:szCs w:val="18"/>
                <w:highlight w:val="none"/>
              </w:rPr>
            </w:pPr>
            <w:r>
              <w:rPr>
                <w:rFonts w:hint="eastAsia"/>
                <w:sz w:val="18"/>
                <w:szCs w:val="18"/>
                <w:highlight w:val="none"/>
                <w:lang w:val="en-US" w:eastAsia="zh-CN"/>
              </w:rPr>
              <w:t>16</w:t>
            </w:r>
          </w:p>
        </w:tc>
        <w:tc>
          <w:tcPr>
            <w:tcW w:w="494" w:type="dxa"/>
            <w:vAlign w:val="center"/>
          </w:tcPr>
          <w:p>
            <w:pPr>
              <w:snapToGrid w:val="0"/>
              <w:ind w:left="-5" w:leftChars="0" w:firstLine="3" w:firstLineChars="2"/>
              <w:jc w:val="center"/>
              <w:rPr>
                <w:color w:val="000000"/>
                <w:sz w:val="18"/>
                <w:szCs w:val="18"/>
                <w:highlight w:val="none"/>
              </w:rPr>
            </w:pPr>
            <w:r>
              <w:rPr>
                <w:rFonts w:hint="eastAsia"/>
                <w:color w:val="000000"/>
                <w:sz w:val="18"/>
                <w:szCs w:val="18"/>
                <w:highlight w:val="none"/>
                <w:lang w:val="en-US" w:eastAsia="zh-CN"/>
              </w:rPr>
              <w:t>16</w:t>
            </w:r>
          </w:p>
        </w:tc>
        <w:tc>
          <w:tcPr>
            <w:tcW w:w="459" w:type="dxa"/>
            <w:vAlign w:val="center"/>
          </w:tcPr>
          <w:p>
            <w:pPr>
              <w:snapToGrid w:val="0"/>
              <w:ind w:left="-5" w:leftChars="0" w:firstLine="3" w:firstLineChars="2"/>
              <w:jc w:val="center"/>
              <w:rPr>
                <w:color w:val="000000"/>
                <w:sz w:val="18"/>
                <w:szCs w:val="18"/>
                <w:highlight w:val="none"/>
              </w:rPr>
            </w:pPr>
            <w:r>
              <w:rPr>
                <w:rFonts w:hint="eastAsia"/>
                <w:color w:val="000000"/>
                <w:sz w:val="18"/>
                <w:szCs w:val="18"/>
                <w:highlight w:val="none"/>
                <w:lang w:val="en-US" w:eastAsia="zh-CN"/>
              </w:rPr>
              <w:t>0</w:t>
            </w:r>
          </w:p>
        </w:tc>
        <w:tc>
          <w:tcPr>
            <w:tcW w:w="527" w:type="dxa"/>
            <w:vAlign w:val="center"/>
          </w:tcPr>
          <w:p>
            <w:pPr>
              <w:snapToGrid w:val="0"/>
              <w:ind w:left="-5" w:leftChars="0" w:firstLine="3" w:firstLineChars="2"/>
              <w:jc w:val="center"/>
              <w:rPr>
                <w:rFonts w:hint="eastAsia"/>
                <w:color w:val="000000"/>
                <w:sz w:val="18"/>
                <w:szCs w:val="18"/>
                <w:highlight w:val="none"/>
              </w:rPr>
            </w:pPr>
            <w:r>
              <w:rPr>
                <w:rFonts w:hint="eastAsia"/>
                <w:color w:val="000000"/>
                <w:sz w:val="18"/>
                <w:szCs w:val="18"/>
                <w:highlight w:val="none"/>
                <w:lang w:val="en-US" w:eastAsia="zh-CN"/>
              </w:rPr>
              <w:t>1</w:t>
            </w:r>
          </w:p>
        </w:tc>
        <w:tc>
          <w:tcPr>
            <w:tcW w:w="422" w:type="dxa"/>
            <w:vAlign w:val="center"/>
          </w:tcPr>
          <w:p>
            <w:pPr>
              <w:snapToGrid w:val="0"/>
              <w:ind w:left="-5" w:leftChars="0" w:firstLine="3" w:firstLineChars="2"/>
              <w:jc w:val="center"/>
              <w:rPr>
                <w:rFonts w:hint="eastAsia" w:eastAsia="宋体"/>
                <w:color w:val="000000"/>
                <w:sz w:val="18"/>
                <w:szCs w:val="18"/>
                <w:highlight w:val="none"/>
                <w:lang w:val="en-US" w:eastAsia="zh-CN"/>
              </w:rPr>
            </w:pPr>
            <w:r>
              <w:rPr>
                <w:rFonts w:hint="eastAsia"/>
                <w:color w:val="000000"/>
                <w:sz w:val="18"/>
                <w:szCs w:val="18"/>
                <w:highlight w:val="none"/>
                <w:lang w:val="en-US" w:eastAsia="zh-CN"/>
              </w:rPr>
              <w:t>2</w:t>
            </w:r>
          </w:p>
        </w:tc>
        <w:tc>
          <w:tcPr>
            <w:tcW w:w="380" w:type="dxa"/>
            <w:vAlign w:val="center"/>
          </w:tcPr>
          <w:p>
            <w:pPr>
              <w:snapToGrid w:val="0"/>
              <w:ind w:left="-5" w:leftChars="0" w:firstLine="3" w:firstLineChars="2"/>
              <w:jc w:val="center"/>
              <w:rPr>
                <w:color w:val="000000"/>
                <w:sz w:val="18"/>
                <w:szCs w:val="18"/>
                <w:highlight w:val="none"/>
              </w:rPr>
            </w:pPr>
          </w:p>
        </w:tc>
        <w:tc>
          <w:tcPr>
            <w:tcW w:w="402" w:type="dxa"/>
            <w:vAlign w:val="center"/>
          </w:tcPr>
          <w:p>
            <w:pPr>
              <w:snapToGrid w:val="0"/>
              <w:ind w:left="-5" w:leftChars="0" w:firstLine="3" w:firstLineChars="2"/>
              <w:jc w:val="center"/>
              <w:rPr>
                <w:rFonts w:hint="eastAsia"/>
                <w:color w:val="000000"/>
                <w:sz w:val="18"/>
                <w:szCs w:val="18"/>
                <w:highlight w:val="none"/>
              </w:rPr>
            </w:pPr>
          </w:p>
        </w:tc>
        <w:tc>
          <w:tcPr>
            <w:tcW w:w="380" w:type="dxa"/>
            <w:vAlign w:val="center"/>
          </w:tcPr>
          <w:p>
            <w:pPr>
              <w:snapToGrid w:val="0"/>
              <w:ind w:left="-5" w:leftChars="0" w:firstLine="3" w:firstLineChars="2"/>
              <w:jc w:val="center"/>
              <w:rPr>
                <w:rFonts w:hint="eastAsia"/>
                <w:color w:val="000000"/>
                <w:sz w:val="18"/>
                <w:szCs w:val="18"/>
                <w:highlight w:val="none"/>
              </w:rPr>
            </w:pPr>
          </w:p>
        </w:tc>
        <w:tc>
          <w:tcPr>
            <w:tcW w:w="380" w:type="dxa"/>
            <w:vAlign w:val="center"/>
          </w:tcPr>
          <w:p>
            <w:pPr>
              <w:snapToGrid w:val="0"/>
              <w:ind w:left="-5" w:leftChars="0" w:firstLine="3" w:firstLineChars="2"/>
              <w:jc w:val="center"/>
              <w:rPr>
                <w:rFonts w:hint="eastAsia"/>
                <w:sz w:val="18"/>
                <w:szCs w:val="18"/>
              </w:rPr>
            </w:pPr>
          </w:p>
        </w:tc>
        <w:tc>
          <w:tcPr>
            <w:tcW w:w="380" w:type="dxa"/>
            <w:tcBorders>
              <w:right w:val="single" w:color="auto" w:sz="4" w:space="0"/>
            </w:tcBorders>
            <w:vAlign w:val="center"/>
          </w:tcPr>
          <w:p>
            <w:pPr>
              <w:snapToGrid w:val="0"/>
              <w:ind w:left="-5" w:leftChars="0" w:firstLine="3" w:firstLineChars="2"/>
              <w:jc w:val="center"/>
              <w:rPr>
                <w:sz w:val="18"/>
                <w:szCs w:val="18"/>
              </w:rPr>
            </w:pPr>
          </w:p>
        </w:tc>
        <w:tc>
          <w:tcPr>
            <w:tcW w:w="446" w:type="dxa"/>
            <w:gridSpan w:val="2"/>
            <w:tcBorders>
              <w:left w:val="single" w:color="auto" w:sz="4" w:space="0"/>
            </w:tcBorders>
            <w:vAlign w:val="center"/>
          </w:tcPr>
          <w:p>
            <w:pPr>
              <w:snapToGrid w:val="0"/>
              <w:ind w:left="-5" w:leftChars="0" w:firstLine="3" w:firstLineChars="2"/>
              <w:jc w:val="center"/>
              <w:rPr>
                <w:rFonts w:hint="eastAsia"/>
                <w:spacing w:val="-4"/>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rFonts w:hint="eastAsia"/>
                <w:sz w:val="18"/>
                <w:szCs w:val="18"/>
              </w:rPr>
            </w:pPr>
            <w:r>
              <w:rPr>
                <w:sz w:val="18"/>
                <w:szCs w:val="18"/>
              </w:rPr>
              <w:t>C141004</w:t>
            </w:r>
          </w:p>
        </w:tc>
        <w:tc>
          <w:tcPr>
            <w:tcW w:w="2219" w:type="dxa"/>
            <w:vAlign w:val="center"/>
          </w:tcPr>
          <w:p>
            <w:pPr>
              <w:snapToGrid w:val="0"/>
              <w:ind w:left="-5" w:firstLine="3" w:firstLineChars="2"/>
              <w:rPr>
                <w:rFonts w:hint="eastAsia"/>
                <w:sz w:val="18"/>
                <w:szCs w:val="18"/>
              </w:rPr>
            </w:pPr>
            <w:r>
              <w:rPr>
                <w:rFonts w:hint="eastAsia"/>
                <w:sz w:val="18"/>
                <w:szCs w:val="18"/>
              </w:rPr>
              <w:t>劳动教育Ⅰ</w:t>
            </w:r>
          </w:p>
        </w:tc>
        <w:tc>
          <w:tcPr>
            <w:tcW w:w="504" w:type="dxa"/>
            <w:vAlign w:val="center"/>
          </w:tcPr>
          <w:p>
            <w:pPr>
              <w:snapToGrid w:val="0"/>
              <w:ind w:left="-5" w:firstLine="3" w:firstLineChars="2"/>
              <w:jc w:val="center"/>
              <w:rPr>
                <w:rFonts w:hint="eastAsia"/>
                <w:sz w:val="18"/>
                <w:szCs w:val="18"/>
                <w:highlight w:val="none"/>
              </w:rPr>
            </w:pPr>
            <w:r>
              <w:rPr>
                <w:sz w:val="18"/>
                <w:szCs w:val="18"/>
                <w:highlight w:val="none"/>
              </w:rPr>
              <w:t>16</w:t>
            </w:r>
          </w:p>
        </w:tc>
        <w:tc>
          <w:tcPr>
            <w:tcW w:w="494" w:type="dxa"/>
            <w:vAlign w:val="center"/>
          </w:tcPr>
          <w:p>
            <w:pPr>
              <w:snapToGrid w:val="0"/>
              <w:ind w:left="-5" w:firstLine="3" w:firstLineChars="2"/>
              <w:jc w:val="center"/>
              <w:rPr>
                <w:rFonts w:hint="eastAsia"/>
                <w:color w:val="000000"/>
                <w:sz w:val="18"/>
                <w:szCs w:val="18"/>
                <w:highlight w:val="none"/>
              </w:rPr>
            </w:pPr>
            <w:r>
              <w:rPr>
                <w:color w:val="000000"/>
                <w:sz w:val="18"/>
                <w:szCs w:val="18"/>
                <w:highlight w:val="none"/>
              </w:rPr>
              <w:t>16</w:t>
            </w:r>
          </w:p>
        </w:tc>
        <w:tc>
          <w:tcPr>
            <w:tcW w:w="459" w:type="dxa"/>
            <w:vAlign w:val="center"/>
          </w:tcPr>
          <w:p>
            <w:pPr>
              <w:snapToGrid w:val="0"/>
              <w:ind w:left="-5" w:firstLine="3" w:firstLineChars="2"/>
              <w:jc w:val="center"/>
              <w:rPr>
                <w:rFonts w:hint="eastAsia"/>
                <w:color w:val="000000"/>
                <w:sz w:val="18"/>
                <w:szCs w:val="18"/>
                <w:highlight w:val="none"/>
              </w:rPr>
            </w:pPr>
            <w:r>
              <w:rPr>
                <w:color w:val="000000"/>
                <w:sz w:val="18"/>
                <w:szCs w:val="18"/>
                <w:highlight w:val="none"/>
              </w:rPr>
              <w:t>0</w:t>
            </w:r>
          </w:p>
        </w:tc>
        <w:tc>
          <w:tcPr>
            <w:tcW w:w="527" w:type="dxa"/>
            <w:vAlign w:val="center"/>
          </w:tcPr>
          <w:p>
            <w:pPr>
              <w:snapToGrid w:val="0"/>
              <w:ind w:left="-5" w:firstLine="3" w:firstLineChars="2"/>
              <w:jc w:val="center"/>
              <w:rPr>
                <w:rFonts w:hint="eastAsia"/>
                <w:color w:val="000000"/>
                <w:sz w:val="18"/>
                <w:szCs w:val="18"/>
                <w:highlight w:val="none"/>
              </w:rPr>
            </w:pPr>
            <w:r>
              <w:rPr>
                <w:rFonts w:hint="eastAsia"/>
                <w:color w:val="000000"/>
                <w:sz w:val="18"/>
                <w:szCs w:val="18"/>
                <w:highlight w:val="none"/>
              </w:rPr>
              <w:t>1</w:t>
            </w:r>
          </w:p>
        </w:tc>
        <w:tc>
          <w:tcPr>
            <w:tcW w:w="422" w:type="dxa"/>
            <w:vAlign w:val="center"/>
          </w:tcPr>
          <w:p>
            <w:pPr>
              <w:snapToGrid w:val="0"/>
              <w:ind w:left="-5" w:firstLine="3" w:firstLineChars="2"/>
              <w:jc w:val="center"/>
              <w:rPr>
                <w:rFonts w:hint="eastAsia"/>
                <w:color w:val="000000"/>
                <w:sz w:val="18"/>
                <w:szCs w:val="18"/>
                <w:highlight w:val="none"/>
              </w:rPr>
            </w:pPr>
          </w:p>
        </w:tc>
        <w:tc>
          <w:tcPr>
            <w:tcW w:w="380" w:type="dxa"/>
            <w:vAlign w:val="center"/>
          </w:tcPr>
          <w:p>
            <w:pPr>
              <w:snapToGrid w:val="0"/>
              <w:ind w:left="-5" w:firstLine="3" w:firstLineChars="2"/>
              <w:jc w:val="center"/>
              <w:rPr>
                <w:rFonts w:hint="eastAsia"/>
                <w:color w:val="000000"/>
                <w:sz w:val="18"/>
                <w:szCs w:val="18"/>
                <w:highlight w:val="none"/>
              </w:rPr>
            </w:pPr>
            <w:r>
              <w:rPr>
                <w:color w:val="000000"/>
                <w:sz w:val="18"/>
                <w:szCs w:val="18"/>
                <w:highlight w:val="none"/>
              </w:rPr>
              <w:t>16</w:t>
            </w:r>
          </w:p>
        </w:tc>
        <w:tc>
          <w:tcPr>
            <w:tcW w:w="402" w:type="dxa"/>
            <w:vAlign w:val="center"/>
          </w:tcPr>
          <w:p>
            <w:pPr>
              <w:snapToGrid w:val="0"/>
              <w:ind w:left="-5" w:firstLine="3" w:firstLineChars="2"/>
              <w:jc w:val="center"/>
              <w:rPr>
                <w:rFonts w:hint="eastAsia"/>
                <w:color w:val="000000"/>
                <w:sz w:val="18"/>
                <w:szCs w:val="18"/>
                <w:highlight w:val="none"/>
              </w:rPr>
            </w:pPr>
          </w:p>
        </w:tc>
        <w:tc>
          <w:tcPr>
            <w:tcW w:w="380" w:type="dxa"/>
            <w:vAlign w:val="center"/>
          </w:tcPr>
          <w:p>
            <w:pPr>
              <w:snapToGrid w:val="0"/>
              <w:ind w:left="-5" w:firstLine="3" w:firstLineChars="2"/>
              <w:jc w:val="center"/>
              <w:rPr>
                <w:rFonts w:hint="eastAsia"/>
                <w:color w:val="000000"/>
                <w:sz w:val="18"/>
                <w:szCs w:val="18"/>
                <w:highlight w:val="none"/>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top"/>
          </w:tcPr>
          <w:p>
            <w:pPr>
              <w:pStyle w:val="20"/>
              <w:spacing w:before="41"/>
              <w:ind w:left="55"/>
              <w:rPr>
                <w:rFonts w:ascii="Calibri"/>
                <w:sz w:val="18"/>
                <w:szCs w:val="18"/>
              </w:rPr>
            </w:pPr>
            <w:r>
              <w:rPr>
                <w:rFonts w:ascii="Dialog" w:hAnsi="Times New Roman" w:eastAsia="Dialog" w:cs="Dialog"/>
                <w:sz w:val="18"/>
                <w:szCs w:val="18"/>
              </w:rPr>
              <w:t>C141002</w:t>
            </w:r>
          </w:p>
        </w:tc>
        <w:tc>
          <w:tcPr>
            <w:tcW w:w="2219" w:type="dxa"/>
            <w:vAlign w:val="top"/>
          </w:tcPr>
          <w:p>
            <w:pPr>
              <w:pStyle w:val="20"/>
              <w:spacing w:before="33"/>
              <w:ind w:left="56"/>
              <w:rPr>
                <w:sz w:val="18"/>
                <w:szCs w:val="18"/>
              </w:rPr>
            </w:pPr>
            <w:r>
              <w:rPr>
                <w:rFonts w:hint="eastAsia" w:ascii="宋体" w:hAnsi="宋体" w:eastAsia="宋体" w:cs="宋体"/>
                <w:sz w:val="18"/>
                <w:szCs w:val="18"/>
                <w:lang w:eastAsia="zh-CN"/>
              </w:rPr>
              <w:t>心理健康教育</w:t>
            </w:r>
          </w:p>
        </w:tc>
        <w:tc>
          <w:tcPr>
            <w:tcW w:w="504" w:type="dxa"/>
            <w:vAlign w:val="top"/>
          </w:tcPr>
          <w:p>
            <w:pPr>
              <w:pStyle w:val="20"/>
              <w:spacing w:before="41"/>
              <w:ind w:left="10"/>
              <w:jc w:val="center"/>
              <w:rPr>
                <w:rFonts w:ascii="Calibri"/>
                <w:w w:val="99"/>
                <w:sz w:val="18"/>
                <w:szCs w:val="18"/>
              </w:rPr>
            </w:pPr>
            <w:r>
              <w:rPr>
                <w:rFonts w:hint="eastAsia" w:ascii="Calibri"/>
                <w:w w:val="99"/>
                <w:sz w:val="18"/>
                <w:szCs w:val="18"/>
                <w:lang w:eastAsia="zh-CN"/>
              </w:rPr>
              <w:t>32</w:t>
            </w:r>
          </w:p>
        </w:tc>
        <w:tc>
          <w:tcPr>
            <w:tcW w:w="494" w:type="dxa"/>
            <w:vAlign w:val="top"/>
          </w:tcPr>
          <w:p>
            <w:pPr>
              <w:pStyle w:val="20"/>
              <w:ind w:left="14"/>
              <w:jc w:val="center"/>
              <w:rPr>
                <w:rFonts w:ascii="Calibri"/>
                <w:w w:val="99"/>
                <w:sz w:val="18"/>
                <w:szCs w:val="18"/>
              </w:rPr>
            </w:pPr>
            <w:r>
              <w:rPr>
                <w:rFonts w:hint="eastAsia" w:ascii="Calibri"/>
                <w:w w:val="99"/>
                <w:sz w:val="18"/>
                <w:szCs w:val="18"/>
                <w:lang w:eastAsia="zh-CN"/>
              </w:rPr>
              <w:t>16</w:t>
            </w:r>
          </w:p>
        </w:tc>
        <w:tc>
          <w:tcPr>
            <w:tcW w:w="459" w:type="dxa"/>
            <w:vAlign w:val="top"/>
          </w:tcPr>
          <w:p>
            <w:pPr>
              <w:pStyle w:val="20"/>
              <w:ind w:left="13"/>
              <w:jc w:val="center"/>
              <w:rPr>
                <w:rFonts w:ascii="Calibri"/>
                <w:w w:val="99"/>
                <w:sz w:val="18"/>
                <w:szCs w:val="18"/>
              </w:rPr>
            </w:pPr>
            <w:r>
              <w:rPr>
                <w:rFonts w:hint="eastAsia" w:ascii="Calibri"/>
                <w:w w:val="99"/>
                <w:sz w:val="18"/>
                <w:szCs w:val="18"/>
                <w:lang w:eastAsia="zh-CN"/>
              </w:rPr>
              <w:t>16</w:t>
            </w:r>
          </w:p>
        </w:tc>
        <w:tc>
          <w:tcPr>
            <w:tcW w:w="527" w:type="dxa"/>
            <w:vAlign w:val="top"/>
          </w:tcPr>
          <w:p>
            <w:pPr>
              <w:pStyle w:val="20"/>
              <w:spacing w:before="41"/>
              <w:ind w:left="63" w:right="51"/>
              <w:jc w:val="center"/>
              <w:rPr>
                <w:rFonts w:ascii="Calibri"/>
                <w:sz w:val="18"/>
                <w:szCs w:val="18"/>
              </w:rPr>
            </w:pPr>
            <w:r>
              <w:rPr>
                <w:rFonts w:hint="eastAsia" w:ascii="Calibri"/>
                <w:sz w:val="18"/>
                <w:szCs w:val="18"/>
                <w:lang w:eastAsia="zh-CN"/>
              </w:rPr>
              <w:t>2</w:t>
            </w:r>
          </w:p>
        </w:tc>
        <w:tc>
          <w:tcPr>
            <w:tcW w:w="422" w:type="dxa"/>
            <w:vAlign w:val="top"/>
          </w:tcPr>
          <w:p>
            <w:pPr>
              <w:pStyle w:val="20"/>
              <w:rPr>
                <w:rFonts w:ascii="Times New Roman"/>
                <w:sz w:val="18"/>
                <w:szCs w:val="18"/>
              </w:rPr>
            </w:pPr>
          </w:p>
        </w:tc>
        <w:tc>
          <w:tcPr>
            <w:tcW w:w="380" w:type="dxa"/>
            <w:vAlign w:val="top"/>
          </w:tcPr>
          <w:p>
            <w:pPr>
              <w:pStyle w:val="20"/>
              <w:spacing w:before="41"/>
              <w:ind w:left="15"/>
              <w:jc w:val="center"/>
              <w:rPr>
                <w:rFonts w:ascii="Calibri"/>
                <w:w w:val="99"/>
                <w:sz w:val="18"/>
                <w:szCs w:val="18"/>
              </w:rPr>
            </w:pPr>
            <w:r>
              <w:rPr>
                <w:rFonts w:hint="eastAsia" w:ascii="Calibri"/>
                <w:w w:val="99"/>
                <w:sz w:val="18"/>
                <w:szCs w:val="18"/>
                <w:lang w:eastAsia="zh-CN"/>
              </w:rPr>
              <w:t>2</w:t>
            </w:r>
          </w:p>
        </w:tc>
        <w:tc>
          <w:tcPr>
            <w:tcW w:w="402" w:type="dxa"/>
            <w:vAlign w:val="top"/>
          </w:tcPr>
          <w:p>
            <w:pPr>
              <w:pStyle w:val="20"/>
              <w:rPr>
                <w:rFonts w:ascii="Times New Roman"/>
                <w:sz w:val="18"/>
                <w:szCs w:val="18"/>
              </w:rPr>
            </w:pPr>
          </w:p>
        </w:tc>
        <w:tc>
          <w:tcPr>
            <w:tcW w:w="380" w:type="dxa"/>
            <w:vAlign w:val="top"/>
          </w:tcPr>
          <w:p>
            <w:pPr>
              <w:pStyle w:val="20"/>
              <w:rPr>
                <w:rFonts w:ascii="Times New Roman"/>
                <w:sz w:val="18"/>
                <w:szCs w:val="18"/>
              </w:rPr>
            </w:pPr>
          </w:p>
        </w:tc>
        <w:tc>
          <w:tcPr>
            <w:tcW w:w="380" w:type="dxa"/>
            <w:vAlign w:val="top"/>
          </w:tcPr>
          <w:p>
            <w:pPr>
              <w:pStyle w:val="20"/>
              <w:rPr>
                <w:rFonts w:ascii="Times New Roman"/>
                <w:sz w:val="18"/>
                <w:szCs w:val="18"/>
              </w:rPr>
            </w:pPr>
          </w:p>
        </w:tc>
        <w:tc>
          <w:tcPr>
            <w:tcW w:w="380" w:type="dxa"/>
            <w:vAlign w:val="top"/>
          </w:tcPr>
          <w:p>
            <w:pPr>
              <w:pStyle w:val="20"/>
              <w:rPr>
                <w:rFonts w:ascii="Times New Roman"/>
                <w:sz w:val="18"/>
                <w:szCs w:val="18"/>
              </w:rPr>
            </w:pPr>
          </w:p>
        </w:tc>
        <w:tc>
          <w:tcPr>
            <w:tcW w:w="446" w:type="dxa"/>
            <w:gridSpan w:val="2"/>
            <w:tcBorders>
              <w:left w:val="single" w:color="000000" w:sz="6" w:space="0"/>
            </w:tcBorders>
            <w:vAlign w:val="top"/>
          </w:tcPr>
          <w:p>
            <w:pPr>
              <w:pStyle w:val="20"/>
              <w:rPr>
                <w:rFonts w:ascii="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color w:val="FF0000"/>
                <w:sz w:val="18"/>
                <w:szCs w:val="18"/>
              </w:rPr>
            </w:pPr>
            <w:r>
              <w:rPr>
                <w:sz w:val="18"/>
                <w:szCs w:val="18"/>
              </w:rPr>
              <w:t>C021005</w:t>
            </w:r>
          </w:p>
        </w:tc>
        <w:tc>
          <w:tcPr>
            <w:tcW w:w="2219" w:type="dxa"/>
            <w:vAlign w:val="center"/>
          </w:tcPr>
          <w:p>
            <w:pPr>
              <w:snapToGrid w:val="0"/>
              <w:ind w:left="-5" w:firstLine="3" w:firstLineChars="2"/>
              <w:rPr>
                <w:rFonts w:hint="eastAsia"/>
                <w:sz w:val="18"/>
                <w:szCs w:val="18"/>
              </w:rPr>
            </w:pPr>
            <w:r>
              <w:rPr>
                <w:rFonts w:hint="eastAsia"/>
                <w:sz w:val="18"/>
                <w:szCs w:val="18"/>
              </w:rPr>
              <w:t>人工智能概论</w:t>
            </w:r>
          </w:p>
        </w:tc>
        <w:tc>
          <w:tcPr>
            <w:tcW w:w="504" w:type="dxa"/>
            <w:vAlign w:val="center"/>
          </w:tcPr>
          <w:p>
            <w:pPr>
              <w:snapToGrid w:val="0"/>
              <w:ind w:left="-5" w:firstLine="3" w:firstLineChars="2"/>
              <w:jc w:val="center"/>
              <w:rPr>
                <w:rFonts w:hint="eastAsia"/>
                <w:sz w:val="18"/>
                <w:szCs w:val="18"/>
              </w:rPr>
            </w:pPr>
            <w:r>
              <w:rPr>
                <w:rFonts w:hint="eastAsia"/>
                <w:sz w:val="18"/>
                <w:szCs w:val="18"/>
              </w:rPr>
              <w:t>32</w:t>
            </w:r>
          </w:p>
        </w:tc>
        <w:tc>
          <w:tcPr>
            <w:tcW w:w="494" w:type="dxa"/>
            <w:vAlign w:val="center"/>
          </w:tcPr>
          <w:p>
            <w:pPr>
              <w:snapToGrid w:val="0"/>
              <w:ind w:left="-5" w:firstLine="3" w:firstLineChars="2"/>
              <w:jc w:val="center"/>
              <w:rPr>
                <w:rFonts w:hint="eastAsia"/>
                <w:sz w:val="18"/>
                <w:szCs w:val="18"/>
              </w:rPr>
            </w:pPr>
            <w:r>
              <w:rPr>
                <w:sz w:val="18"/>
                <w:szCs w:val="18"/>
              </w:rPr>
              <w:t>2</w:t>
            </w:r>
            <w:r>
              <w:rPr>
                <w:rFonts w:hint="eastAsia"/>
                <w:sz w:val="18"/>
                <w:szCs w:val="18"/>
              </w:rPr>
              <w:t>0</w:t>
            </w:r>
          </w:p>
        </w:tc>
        <w:tc>
          <w:tcPr>
            <w:tcW w:w="459" w:type="dxa"/>
            <w:vAlign w:val="center"/>
          </w:tcPr>
          <w:p>
            <w:pPr>
              <w:snapToGrid w:val="0"/>
              <w:ind w:left="-5" w:firstLine="3" w:firstLineChars="2"/>
              <w:jc w:val="center"/>
              <w:rPr>
                <w:rFonts w:hint="eastAsia"/>
                <w:sz w:val="18"/>
                <w:szCs w:val="18"/>
              </w:rPr>
            </w:pPr>
            <w:r>
              <w:rPr>
                <w:rFonts w:hint="eastAsia"/>
                <w:sz w:val="18"/>
                <w:szCs w:val="18"/>
              </w:rPr>
              <w:t>12</w:t>
            </w:r>
          </w:p>
        </w:tc>
        <w:tc>
          <w:tcPr>
            <w:tcW w:w="527" w:type="dxa"/>
            <w:vAlign w:val="center"/>
          </w:tcPr>
          <w:p>
            <w:pPr>
              <w:snapToGrid w:val="0"/>
              <w:ind w:left="-5" w:firstLine="3" w:firstLineChars="2"/>
              <w:jc w:val="center"/>
              <w:rPr>
                <w:rFonts w:hint="eastAsia"/>
                <w:sz w:val="18"/>
                <w:szCs w:val="18"/>
              </w:rPr>
            </w:pPr>
            <w:r>
              <w:rPr>
                <w:rFonts w:hint="eastAsia"/>
                <w:sz w:val="18"/>
                <w:szCs w:val="18"/>
              </w:rPr>
              <w:t>2</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sz w:val="18"/>
                <w:szCs w:val="18"/>
              </w:rPr>
            </w:pPr>
            <w:r>
              <w:rPr>
                <w:rFonts w:hint="eastAsia"/>
                <w:sz w:val="18"/>
                <w:szCs w:val="18"/>
              </w:rPr>
              <w:t>2</w:t>
            </w: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rFonts w:hint="eastAsia"/>
                <w:sz w:val="18"/>
                <w:szCs w:val="18"/>
              </w:rPr>
            </w:pPr>
            <w:r>
              <w:rPr>
                <w:sz w:val="18"/>
                <w:szCs w:val="18"/>
              </w:rPr>
              <w:t>C121012</w:t>
            </w:r>
          </w:p>
        </w:tc>
        <w:tc>
          <w:tcPr>
            <w:tcW w:w="2219" w:type="dxa"/>
            <w:vAlign w:val="center"/>
          </w:tcPr>
          <w:p>
            <w:pPr>
              <w:snapToGrid w:val="0"/>
              <w:ind w:left="-5" w:firstLine="3" w:firstLineChars="2"/>
              <w:rPr>
                <w:rFonts w:hint="eastAsia"/>
                <w:sz w:val="18"/>
                <w:szCs w:val="18"/>
              </w:rPr>
            </w:pPr>
            <w:r>
              <w:rPr>
                <w:rFonts w:hint="eastAsia"/>
                <w:sz w:val="18"/>
                <w:szCs w:val="18"/>
              </w:rPr>
              <w:t>大学语文</w:t>
            </w:r>
          </w:p>
        </w:tc>
        <w:tc>
          <w:tcPr>
            <w:tcW w:w="504" w:type="dxa"/>
            <w:vAlign w:val="center"/>
          </w:tcPr>
          <w:p>
            <w:pPr>
              <w:snapToGrid w:val="0"/>
              <w:ind w:left="-5" w:firstLine="3" w:firstLineChars="2"/>
              <w:jc w:val="center"/>
              <w:rPr>
                <w:rFonts w:hint="eastAsia"/>
                <w:sz w:val="18"/>
                <w:szCs w:val="18"/>
              </w:rPr>
            </w:pPr>
            <w:r>
              <w:rPr>
                <w:rFonts w:hint="eastAsia"/>
                <w:sz w:val="18"/>
                <w:szCs w:val="18"/>
              </w:rPr>
              <w:t>32</w:t>
            </w:r>
          </w:p>
        </w:tc>
        <w:tc>
          <w:tcPr>
            <w:tcW w:w="494"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2</w:t>
            </w:r>
          </w:p>
        </w:tc>
        <w:tc>
          <w:tcPr>
            <w:tcW w:w="459" w:type="dxa"/>
            <w:vAlign w:val="center"/>
          </w:tcPr>
          <w:p>
            <w:pPr>
              <w:snapToGrid w:val="0"/>
              <w:ind w:left="-5" w:firstLine="3" w:firstLineChars="2"/>
              <w:jc w:val="center"/>
              <w:rPr>
                <w:rFonts w:hint="eastAsia"/>
                <w:sz w:val="18"/>
                <w:szCs w:val="18"/>
              </w:rPr>
            </w:pPr>
            <w:r>
              <w:rPr>
                <w:rFonts w:hint="eastAsia"/>
                <w:sz w:val="18"/>
                <w:szCs w:val="18"/>
              </w:rPr>
              <w:t>0</w:t>
            </w:r>
          </w:p>
        </w:tc>
        <w:tc>
          <w:tcPr>
            <w:tcW w:w="527" w:type="dxa"/>
            <w:vAlign w:val="center"/>
          </w:tcPr>
          <w:p>
            <w:pPr>
              <w:snapToGrid w:val="0"/>
              <w:ind w:left="-5" w:firstLine="3" w:firstLineChars="2"/>
              <w:jc w:val="center"/>
              <w:rPr>
                <w:rFonts w:hint="eastAsia"/>
                <w:sz w:val="18"/>
                <w:szCs w:val="18"/>
              </w:rPr>
            </w:pPr>
            <w:r>
              <w:rPr>
                <w:rFonts w:hint="eastAsia"/>
                <w:sz w:val="18"/>
                <w:szCs w:val="18"/>
              </w:rPr>
              <w:t>2</w:t>
            </w:r>
          </w:p>
        </w:tc>
        <w:tc>
          <w:tcPr>
            <w:tcW w:w="422" w:type="dxa"/>
            <w:vAlign w:val="center"/>
          </w:tcPr>
          <w:p>
            <w:pPr>
              <w:snapToGrid w:val="0"/>
              <w:ind w:left="-5" w:firstLine="3" w:firstLineChars="2"/>
              <w:jc w:val="center"/>
              <w:rPr>
                <w:rFonts w:hint="eastAsia" w:eastAsia="宋体"/>
                <w:sz w:val="18"/>
                <w:szCs w:val="18"/>
                <w:lang w:val="en-US" w:eastAsia="zh-CN"/>
              </w:rPr>
            </w:pPr>
            <w:r>
              <w:rPr>
                <w:rFonts w:hint="eastAsia"/>
                <w:sz w:val="18"/>
                <w:szCs w:val="18"/>
                <w:lang w:val="en-US" w:eastAsia="zh-CN"/>
              </w:rPr>
              <w:t>2</w:t>
            </w: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rFonts w:hint="eastAsia"/>
                <w:sz w:val="18"/>
                <w:szCs w:val="18"/>
              </w:rPr>
            </w:pPr>
            <w:r>
              <w:rPr>
                <w:sz w:val="18"/>
                <w:szCs w:val="18"/>
              </w:rPr>
              <w:t>C111013</w:t>
            </w:r>
          </w:p>
        </w:tc>
        <w:tc>
          <w:tcPr>
            <w:tcW w:w="2219" w:type="dxa"/>
            <w:vAlign w:val="center"/>
          </w:tcPr>
          <w:p>
            <w:pPr>
              <w:snapToGrid w:val="0"/>
              <w:ind w:left="-5" w:firstLine="3" w:firstLineChars="2"/>
              <w:rPr>
                <w:rFonts w:hint="eastAsia"/>
                <w:sz w:val="18"/>
                <w:szCs w:val="18"/>
              </w:rPr>
            </w:pPr>
            <w:r>
              <w:rPr>
                <w:rFonts w:hint="eastAsia"/>
                <w:sz w:val="18"/>
                <w:szCs w:val="18"/>
              </w:rPr>
              <w:t>体育Ⅲ</w:t>
            </w:r>
          </w:p>
        </w:tc>
        <w:tc>
          <w:tcPr>
            <w:tcW w:w="504" w:type="dxa"/>
            <w:vAlign w:val="center"/>
          </w:tcPr>
          <w:p>
            <w:pPr>
              <w:snapToGrid w:val="0"/>
              <w:ind w:left="-5" w:firstLine="3" w:firstLineChars="2"/>
              <w:jc w:val="center"/>
              <w:rPr>
                <w:rFonts w:hint="eastAsia"/>
                <w:sz w:val="18"/>
                <w:szCs w:val="18"/>
              </w:rPr>
            </w:pPr>
            <w:r>
              <w:rPr>
                <w:rFonts w:hint="eastAsia"/>
                <w:sz w:val="18"/>
                <w:szCs w:val="18"/>
              </w:rPr>
              <w:t>30</w:t>
            </w:r>
          </w:p>
        </w:tc>
        <w:tc>
          <w:tcPr>
            <w:tcW w:w="494" w:type="dxa"/>
            <w:vAlign w:val="center"/>
          </w:tcPr>
          <w:p>
            <w:pPr>
              <w:snapToGrid w:val="0"/>
              <w:ind w:left="-5" w:firstLine="3" w:firstLineChars="2"/>
              <w:jc w:val="center"/>
              <w:rPr>
                <w:rFonts w:hint="eastAsia"/>
                <w:sz w:val="18"/>
                <w:szCs w:val="18"/>
              </w:rPr>
            </w:pPr>
            <w:r>
              <w:rPr>
                <w:rFonts w:hint="eastAsia"/>
                <w:sz w:val="18"/>
                <w:szCs w:val="18"/>
              </w:rPr>
              <w:t>0</w:t>
            </w:r>
          </w:p>
        </w:tc>
        <w:tc>
          <w:tcPr>
            <w:tcW w:w="459"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0</w:t>
            </w:r>
          </w:p>
        </w:tc>
        <w:tc>
          <w:tcPr>
            <w:tcW w:w="527" w:type="dxa"/>
            <w:vAlign w:val="center"/>
          </w:tcPr>
          <w:p>
            <w:pPr>
              <w:snapToGrid w:val="0"/>
              <w:ind w:left="-5" w:firstLine="3" w:firstLineChars="2"/>
              <w:jc w:val="center"/>
              <w:rPr>
                <w:rFonts w:hint="eastAsia"/>
                <w:sz w:val="18"/>
                <w:szCs w:val="18"/>
              </w:rPr>
            </w:pPr>
            <w:r>
              <w:rPr>
                <w:rFonts w:hint="eastAsia"/>
                <w:sz w:val="18"/>
                <w:szCs w:val="18"/>
              </w:rPr>
              <w:t>1</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sz w:val="18"/>
                <w:szCs w:val="18"/>
              </w:rPr>
            </w:pPr>
            <w:r>
              <w:rPr>
                <w:rFonts w:hint="eastAsia"/>
                <w:sz w:val="18"/>
                <w:szCs w:val="18"/>
              </w:rPr>
              <w:t>2</w:t>
            </w: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rFonts w:hint="eastAsia"/>
                <w:sz w:val="18"/>
                <w:szCs w:val="18"/>
              </w:rPr>
            </w:pPr>
            <w:r>
              <w:rPr>
                <w:sz w:val="18"/>
                <w:szCs w:val="18"/>
              </w:rPr>
              <w:t>C061003</w:t>
            </w:r>
          </w:p>
        </w:tc>
        <w:tc>
          <w:tcPr>
            <w:tcW w:w="2219" w:type="dxa"/>
            <w:vAlign w:val="center"/>
          </w:tcPr>
          <w:p>
            <w:pPr>
              <w:snapToGrid w:val="0"/>
              <w:ind w:left="-5" w:firstLine="3" w:firstLineChars="2"/>
              <w:rPr>
                <w:rFonts w:hint="eastAsia"/>
                <w:sz w:val="18"/>
                <w:szCs w:val="18"/>
              </w:rPr>
            </w:pPr>
            <w:r>
              <w:rPr>
                <w:rFonts w:hint="eastAsia"/>
                <w:sz w:val="18"/>
                <w:szCs w:val="18"/>
              </w:rPr>
              <w:t>大学英语Ⅲ</w:t>
            </w:r>
          </w:p>
        </w:tc>
        <w:tc>
          <w:tcPr>
            <w:tcW w:w="504" w:type="dxa"/>
            <w:vAlign w:val="center"/>
          </w:tcPr>
          <w:p>
            <w:pPr>
              <w:snapToGrid w:val="0"/>
              <w:ind w:left="-5" w:firstLine="3" w:firstLineChars="2"/>
              <w:jc w:val="center"/>
              <w:rPr>
                <w:rFonts w:hint="eastAsia"/>
                <w:sz w:val="18"/>
                <w:szCs w:val="18"/>
              </w:rPr>
            </w:pPr>
            <w:r>
              <w:rPr>
                <w:rFonts w:hint="eastAsia"/>
                <w:sz w:val="18"/>
                <w:szCs w:val="18"/>
              </w:rPr>
              <w:t>48</w:t>
            </w:r>
          </w:p>
        </w:tc>
        <w:tc>
          <w:tcPr>
            <w:tcW w:w="494" w:type="dxa"/>
            <w:vAlign w:val="center"/>
          </w:tcPr>
          <w:p>
            <w:pPr>
              <w:snapToGrid w:val="0"/>
              <w:ind w:left="-5" w:firstLine="3" w:firstLineChars="2"/>
              <w:jc w:val="center"/>
              <w:rPr>
                <w:rFonts w:hint="eastAsia"/>
                <w:sz w:val="18"/>
                <w:szCs w:val="18"/>
              </w:rPr>
            </w:pPr>
            <w:r>
              <w:rPr>
                <w:rFonts w:hint="eastAsia"/>
                <w:sz w:val="18"/>
                <w:szCs w:val="18"/>
              </w:rPr>
              <w:t>2</w:t>
            </w:r>
            <w:r>
              <w:rPr>
                <w:sz w:val="18"/>
                <w:szCs w:val="18"/>
              </w:rPr>
              <w:t>4</w:t>
            </w:r>
          </w:p>
        </w:tc>
        <w:tc>
          <w:tcPr>
            <w:tcW w:w="459" w:type="dxa"/>
            <w:vAlign w:val="center"/>
          </w:tcPr>
          <w:p>
            <w:pPr>
              <w:snapToGrid w:val="0"/>
              <w:ind w:left="-5" w:firstLine="3" w:firstLineChars="2"/>
              <w:jc w:val="center"/>
              <w:rPr>
                <w:rFonts w:hint="eastAsia"/>
                <w:sz w:val="18"/>
                <w:szCs w:val="18"/>
              </w:rPr>
            </w:pPr>
            <w:r>
              <w:rPr>
                <w:rFonts w:hint="eastAsia"/>
                <w:sz w:val="18"/>
                <w:szCs w:val="18"/>
              </w:rPr>
              <w:t>2</w:t>
            </w:r>
            <w:r>
              <w:rPr>
                <w:sz w:val="18"/>
                <w:szCs w:val="18"/>
              </w:rPr>
              <w:t>4</w:t>
            </w:r>
          </w:p>
        </w:tc>
        <w:tc>
          <w:tcPr>
            <w:tcW w:w="527" w:type="dxa"/>
            <w:vAlign w:val="center"/>
          </w:tcPr>
          <w:p>
            <w:pPr>
              <w:snapToGrid w:val="0"/>
              <w:ind w:left="-5" w:firstLine="3" w:firstLineChars="2"/>
              <w:jc w:val="center"/>
              <w:rPr>
                <w:rFonts w:hint="eastAsia"/>
                <w:sz w:val="18"/>
                <w:szCs w:val="18"/>
              </w:rPr>
            </w:pPr>
            <w:r>
              <w:rPr>
                <w:rFonts w:hint="eastAsia"/>
                <w:sz w:val="18"/>
                <w:szCs w:val="18"/>
              </w:rPr>
              <w:t>3</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sz w:val="18"/>
                <w:szCs w:val="18"/>
              </w:rPr>
            </w:pPr>
            <w:r>
              <w:rPr>
                <w:rFonts w:hint="eastAsia"/>
                <w:sz w:val="18"/>
                <w:szCs w:val="18"/>
              </w:rPr>
              <w:t>3</w:t>
            </w: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rFonts w:hint="eastAsia"/>
                <w:sz w:val="18"/>
                <w:szCs w:val="18"/>
              </w:rPr>
            </w:pPr>
            <w:r>
              <w:rPr>
                <w:sz w:val="18"/>
                <w:szCs w:val="18"/>
              </w:rPr>
              <w:t>C121015</w:t>
            </w:r>
          </w:p>
        </w:tc>
        <w:tc>
          <w:tcPr>
            <w:tcW w:w="2219" w:type="dxa"/>
            <w:vAlign w:val="center"/>
          </w:tcPr>
          <w:p>
            <w:pPr>
              <w:snapToGrid w:val="0"/>
              <w:ind w:left="-5" w:firstLine="3" w:firstLineChars="2"/>
              <w:rPr>
                <w:rFonts w:hint="eastAsia"/>
                <w:sz w:val="18"/>
                <w:szCs w:val="18"/>
              </w:rPr>
            </w:pPr>
            <w:r>
              <w:rPr>
                <w:rFonts w:hint="eastAsia"/>
                <w:sz w:val="18"/>
                <w:szCs w:val="18"/>
              </w:rPr>
              <w:t>形势与政策</w:t>
            </w:r>
            <w:r>
              <w:rPr>
                <w:sz w:val="18"/>
                <w:szCs w:val="18"/>
              </w:rPr>
              <w:fldChar w:fldCharType="begin"/>
            </w:r>
            <w:r>
              <w:rPr>
                <w:sz w:val="18"/>
                <w:szCs w:val="18"/>
              </w:rPr>
              <w:instrText xml:space="preserve"> </w:instrText>
            </w:r>
            <w:r>
              <w:rPr>
                <w:rFonts w:hint="eastAsia"/>
                <w:sz w:val="18"/>
                <w:szCs w:val="18"/>
              </w:rPr>
              <w:instrText xml:space="preserve">= 1 \* ROMAN</w:instrText>
            </w:r>
            <w:r>
              <w:rPr>
                <w:sz w:val="18"/>
                <w:szCs w:val="18"/>
              </w:rPr>
              <w:instrText xml:space="preserve"> </w:instrText>
            </w:r>
            <w:r>
              <w:rPr>
                <w:sz w:val="18"/>
                <w:szCs w:val="18"/>
              </w:rPr>
              <w:fldChar w:fldCharType="separate"/>
            </w:r>
            <w:r>
              <w:rPr>
                <w:sz w:val="18"/>
                <w:szCs w:val="18"/>
              </w:rPr>
              <w:t>I</w:t>
            </w:r>
            <w:r>
              <w:rPr>
                <w:sz w:val="18"/>
                <w:szCs w:val="18"/>
              </w:rPr>
              <w:fldChar w:fldCharType="end"/>
            </w:r>
          </w:p>
        </w:tc>
        <w:tc>
          <w:tcPr>
            <w:tcW w:w="504" w:type="dxa"/>
            <w:vAlign w:val="center"/>
          </w:tcPr>
          <w:p>
            <w:pPr>
              <w:snapToGrid w:val="0"/>
              <w:ind w:left="-5" w:firstLine="3" w:firstLineChars="2"/>
              <w:jc w:val="center"/>
              <w:rPr>
                <w:rFonts w:hint="eastAsia"/>
                <w:sz w:val="18"/>
                <w:szCs w:val="18"/>
              </w:rPr>
            </w:pPr>
            <w:r>
              <w:rPr>
                <w:sz w:val="18"/>
                <w:szCs w:val="18"/>
              </w:rPr>
              <w:t>8</w:t>
            </w:r>
          </w:p>
        </w:tc>
        <w:tc>
          <w:tcPr>
            <w:tcW w:w="494" w:type="dxa"/>
            <w:vAlign w:val="center"/>
          </w:tcPr>
          <w:p>
            <w:pPr>
              <w:snapToGrid w:val="0"/>
              <w:ind w:left="-5" w:firstLine="3" w:firstLineChars="2"/>
              <w:jc w:val="center"/>
              <w:rPr>
                <w:rFonts w:hint="eastAsia"/>
                <w:sz w:val="18"/>
                <w:szCs w:val="18"/>
              </w:rPr>
            </w:pPr>
            <w:r>
              <w:rPr>
                <w:sz w:val="18"/>
                <w:szCs w:val="18"/>
              </w:rPr>
              <w:t>8</w:t>
            </w:r>
          </w:p>
        </w:tc>
        <w:tc>
          <w:tcPr>
            <w:tcW w:w="459" w:type="dxa"/>
            <w:vAlign w:val="center"/>
          </w:tcPr>
          <w:p>
            <w:pPr>
              <w:snapToGrid w:val="0"/>
              <w:ind w:left="-5" w:firstLine="3" w:firstLineChars="2"/>
              <w:jc w:val="center"/>
              <w:rPr>
                <w:rFonts w:hint="eastAsia"/>
                <w:sz w:val="18"/>
                <w:szCs w:val="18"/>
              </w:rPr>
            </w:pPr>
            <w:r>
              <w:rPr>
                <w:rFonts w:hint="eastAsia"/>
                <w:sz w:val="18"/>
                <w:szCs w:val="18"/>
              </w:rPr>
              <w:t>0</w:t>
            </w:r>
          </w:p>
        </w:tc>
        <w:tc>
          <w:tcPr>
            <w:tcW w:w="527" w:type="dxa"/>
            <w:vAlign w:val="center"/>
          </w:tcPr>
          <w:p>
            <w:pPr>
              <w:snapToGrid w:val="0"/>
              <w:ind w:left="-5" w:firstLine="3" w:firstLineChars="2"/>
              <w:jc w:val="center"/>
              <w:rPr>
                <w:rFonts w:hint="eastAsia"/>
                <w:sz w:val="18"/>
                <w:szCs w:val="18"/>
              </w:rPr>
            </w:pPr>
            <w:r>
              <w:rPr>
                <w:sz w:val="18"/>
                <w:szCs w:val="18"/>
              </w:rPr>
              <w:t>0.5</w:t>
            </w:r>
          </w:p>
        </w:tc>
        <w:tc>
          <w:tcPr>
            <w:tcW w:w="422" w:type="dxa"/>
            <w:vAlign w:val="center"/>
          </w:tcPr>
          <w:p>
            <w:pPr>
              <w:snapToGrid w:val="0"/>
              <w:ind w:left="-5" w:firstLine="3" w:firstLineChars="2"/>
              <w:jc w:val="center"/>
              <w:rPr>
                <w:rFonts w:hint="eastAsia"/>
                <w:sz w:val="18"/>
                <w:szCs w:val="18"/>
              </w:rPr>
            </w:pPr>
            <w:r>
              <w:rPr>
                <w:rFonts w:hint="eastAsia"/>
                <w:sz w:val="18"/>
                <w:szCs w:val="18"/>
              </w:rPr>
              <w:t>4</w:t>
            </w: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sz w:val="18"/>
                <w:szCs w:val="18"/>
              </w:rPr>
            </w:pPr>
            <w:r>
              <w:rPr>
                <w:rFonts w:hint="eastAsia"/>
                <w:sz w:val="18"/>
                <w:szCs w:val="18"/>
              </w:rPr>
              <w:t>C</w:t>
            </w:r>
            <w:r>
              <w:rPr>
                <w:sz w:val="18"/>
                <w:szCs w:val="18"/>
              </w:rPr>
              <w:t>121016</w:t>
            </w:r>
          </w:p>
        </w:tc>
        <w:tc>
          <w:tcPr>
            <w:tcW w:w="2219" w:type="dxa"/>
            <w:vAlign w:val="center"/>
          </w:tcPr>
          <w:p>
            <w:pPr>
              <w:snapToGrid w:val="0"/>
              <w:rPr>
                <w:rFonts w:hint="eastAsia"/>
                <w:sz w:val="18"/>
                <w:szCs w:val="18"/>
              </w:rPr>
            </w:pPr>
            <w:r>
              <w:rPr>
                <w:rFonts w:hint="eastAsia"/>
                <w:sz w:val="18"/>
                <w:szCs w:val="18"/>
              </w:rPr>
              <w:t>形势与政策</w:t>
            </w:r>
            <w:r>
              <w:rPr>
                <w:sz w:val="18"/>
                <w:szCs w:val="18"/>
              </w:rPr>
              <w:fldChar w:fldCharType="begin"/>
            </w:r>
            <w:r>
              <w:rPr>
                <w:sz w:val="18"/>
                <w:szCs w:val="18"/>
              </w:rPr>
              <w:instrText xml:space="preserve"> </w:instrText>
            </w:r>
            <w:r>
              <w:rPr>
                <w:rFonts w:hint="eastAsia"/>
                <w:sz w:val="18"/>
                <w:szCs w:val="18"/>
              </w:rPr>
              <w:instrText xml:space="preserve">= 2 \* ROMAN</w:instrText>
            </w:r>
            <w:r>
              <w:rPr>
                <w:sz w:val="18"/>
                <w:szCs w:val="18"/>
              </w:rPr>
              <w:instrText xml:space="preserve"> </w:instrText>
            </w:r>
            <w:r>
              <w:rPr>
                <w:sz w:val="18"/>
                <w:szCs w:val="18"/>
              </w:rPr>
              <w:fldChar w:fldCharType="separate"/>
            </w:r>
            <w:r>
              <w:rPr>
                <w:sz w:val="18"/>
                <w:szCs w:val="18"/>
              </w:rPr>
              <w:t>II</w:t>
            </w:r>
            <w:r>
              <w:rPr>
                <w:sz w:val="18"/>
                <w:szCs w:val="18"/>
              </w:rPr>
              <w:fldChar w:fldCharType="end"/>
            </w:r>
          </w:p>
        </w:tc>
        <w:tc>
          <w:tcPr>
            <w:tcW w:w="504" w:type="dxa"/>
            <w:vAlign w:val="center"/>
          </w:tcPr>
          <w:p>
            <w:pPr>
              <w:snapToGrid w:val="0"/>
              <w:ind w:left="-5" w:firstLine="3" w:firstLineChars="2"/>
              <w:jc w:val="center"/>
              <w:rPr>
                <w:rFonts w:hint="eastAsia"/>
                <w:sz w:val="18"/>
                <w:szCs w:val="18"/>
              </w:rPr>
            </w:pPr>
            <w:r>
              <w:rPr>
                <w:rFonts w:hint="eastAsia"/>
                <w:sz w:val="18"/>
                <w:szCs w:val="18"/>
              </w:rPr>
              <w:t>8</w:t>
            </w:r>
          </w:p>
        </w:tc>
        <w:tc>
          <w:tcPr>
            <w:tcW w:w="494" w:type="dxa"/>
            <w:vAlign w:val="center"/>
          </w:tcPr>
          <w:p>
            <w:pPr>
              <w:snapToGrid w:val="0"/>
              <w:ind w:left="-5" w:firstLine="3" w:firstLineChars="2"/>
              <w:jc w:val="center"/>
              <w:rPr>
                <w:rFonts w:hint="eastAsia"/>
                <w:sz w:val="18"/>
                <w:szCs w:val="18"/>
              </w:rPr>
            </w:pPr>
            <w:r>
              <w:rPr>
                <w:rFonts w:hint="eastAsia"/>
                <w:sz w:val="18"/>
                <w:szCs w:val="18"/>
              </w:rPr>
              <w:t>8</w:t>
            </w:r>
          </w:p>
        </w:tc>
        <w:tc>
          <w:tcPr>
            <w:tcW w:w="459" w:type="dxa"/>
            <w:vAlign w:val="center"/>
          </w:tcPr>
          <w:p>
            <w:pPr>
              <w:snapToGrid w:val="0"/>
              <w:ind w:left="-5" w:firstLine="3" w:firstLineChars="2"/>
              <w:jc w:val="center"/>
              <w:rPr>
                <w:rFonts w:hint="eastAsia"/>
                <w:sz w:val="18"/>
                <w:szCs w:val="18"/>
              </w:rPr>
            </w:pPr>
            <w:r>
              <w:rPr>
                <w:rFonts w:hint="eastAsia"/>
                <w:sz w:val="18"/>
                <w:szCs w:val="18"/>
              </w:rPr>
              <w:t>0</w:t>
            </w:r>
          </w:p>
        </w:tc>
        <w:tc>
          <w:tcPr>
            <w:tcW w:w="527" w:type="dxa"/>
            <w:vAlign w:val="center"/>
          </w:tcPr>
          <w:p>
            <w:pPr>
              <w:snapToGrid w:val="0"/>
              <w:ind w:left="-5" w:firstLine="3" w:firstLineChars="2"/>
              <w:jc w:val="center"/>
              <w:rPr>
                <w:rFonts w:hint="eastAsia"/>
                <w:sz w:val="18"/>
                <w:szCs w:val="18"/>
              </w:rPr>
            </w:pPr>
            <w:r>
              <w:rPr>
                <w:rFonts w:hint="eastAsia"/>
                <w:sz w:val="18"/>
                <w:szCs w:val="18"/>
              </w:rPr>
              <w:t>0</w:t>
            </w:r>
            <w:r>
              <w:rPr>
                <w:sz w:val="18"/>
                <w:szCs w:val="18"/>
              </w:rPr>
              <w:t>.5</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r>
              <w:rPr>
                <w:rFonts w:hint="eastAsia"/>
                <w:sz w:val="18"/>
                <w:szCs w:val="18"/>
              </w:rPr>
              <w:t>4</w:t>
            </w: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sz w:val="18"/>
                <w:szCs w:val="18"/>
              </w:rPr>
            </w:pPr>
            <w:r>
              <w:rPr>
                <w:rFonts w:hint="eastAsia"/>
                <w:sz w:val="18"/>
                <w:szCs w:val="18"/>
              </w:rPr>
              <w:t>C</w:t>
            </w:r>
            <w:r>
              <w:rPr>
                <w:sz w:val="18"/>
                <w:szCs w:val="18"/>
              </w:rPr>
              <w:t>121017</w:t>
            </w:r>
          </w:p>
        </w:tc>
        <w:tc>
          <w:tcPr>
            <w:tcW w:w="2219" w:type="dxa"/>
            <w:vAlign w:val="center"/>
          </w:tcPr>
          <w:p>
            <w:pPr>
              <w:snapToGrid w:val="0"/>
              <w:ind w:left="-5" w:firstLine="3" w:firstLineChars="2"/>
              <w:rPr>
                <w:rFonts w:hint="eastAsia"/>
                <w:sz w:val="18"/>
                <w:szCs w:val="18"/>
              </w:rPr>
            </w:pPr>
            <w:r>
              <w:rPr>
                <w:rFonts w:hint="eastAsia"/>
                <w:sz w:val="18"/>
                <w:szCs w:val="18"/>
              </w:rPr>
              <w:t>形势与政策</w:t>
            </w:r>
            <w:r>
              <w:rPr>
                <w:sz w:val="18"/>
                <w:szCs w:val="18"/>
              </w:rPr>
              <w:fldChar w:fldCharType="begin"/>
            </w:r>
            <w:r>
              <w:rPr>
                <w:sz w:val="18"/>
                <w:szCs w:val="18"/>
              </w:rPr>
              <w:instrText xml:space="preserve"> </w:instrText>
            </w:r>
            <w:r>
              <w:rPr>
                <w:rFonts w:hint="eastAsia"/>
                <w:sz w:val="18"/>
                <w:szCs w:val="18"/>
              </w:rPr>
              <w:instrText xml:space="preserve">= 3 \* ROMAN</w:instrText>
            </w:r>
            <w:r>
              <w:rPr>
                <w:sz w:val="18"/>
                <w:szCs w:val="18"/>
              </w:rPr>
              <w:instrText xml:space="preserve"> </w:instrText>
            </w:r>
            <w:r>
              <w:rPr>
                <w:sz w:val="18"/>
                <w:szCs w:val="18"/>
              </w:rPr>
              <w:fldChar w:fldCharType="separate"/>
            </w:r>
            <w:r>
              <w:rPr>
                <w:sz w:val="18"/>
                <w:szCs w:val="18"/>
              </w:rPr>
              <w:t>III</w:t>
            </w:r>
            <w:r>
              <w:rPr>
                <w:sz w:val="18"/>
                <w:szCs w:val="18"/>
              </w:rPr>
              <w:fldChar w:fldCharType="end"/>
            </w:r>
          </w:p>
        </w:tc>
        <w:tc>
          <w:tcPr>
            <w:tcW w:w="504" w:type="dxa"/>
            <w:vAlign w:val="center"/>
          </w:tcPr>
          <w:p>
            <w:pPr>
              <w:snapToGrid w:val="0"/>
              <w:ind w:left="-5" w:firstLine="3" w:firstLineChars="2"/>
              <w:jc w:val="center"/>
              <w:rPr>
                <w:rFonts w:hint="eastAsia"/>
                <w:sz w:val="18"/>
                <w:szCs w:val="18"/>
              </w:rPr>
            </w:pPr>
            <w:r>
              <w:rPr>
                <w:rFonts w:hint="eastAsia"/>
                <w:sz w:val="18"/>
                <w:szCs w:val="18"/>
              </w:rPr>
              <w:t>8</w:t>
            </w:r>
          </w:p>
        </w:tc>
        <w:tc>
          <w:tcPr>
            <w:tcW w:w="494" w:type="dxa"/>
            <w:vAlign w:val="center"/>
          </w:tcPr>
          <w:p>
            <w:pPr>
              <w:snapToGrid w:val="0"/>
              <w:ind w:left="-5" w:firstLine="3" w:firstLineChars="2"/>
              <w:jc w:val="center"/>
              <w:rPr>
                <w:rFonts w:hint="eastAsia"/>
                <w:sz w:val="18"/>
                <w:szCs w:val="18"/>
              </w:rPr>
            </w:pPr>
            <w:r>
              <w:rPr>
                <w:rFonts w:hint="eastAsia"/>
                <w:sz w:val="18"/>
                <w:szCs w:val="18"/>
              </w:rPr>
              <w:t>8</w:t>
            </w:r>
          </w:p>
        </w:tc>
        <w:tc>
          <w:tcPr>
            <w:tcW w:w="459" w:type="dxa"/>
            <w:vAlign w:val="center"/>
          </w:tcPr>
          <w:p>
            <w:pPr>
              <w:snapToGrid w:val="0"/>
              <w:ind w:left="-5" w:firstLine="3" w:firstLineChars="2"/>
              <w:jc w:val="center"/>
              <w:rPr>
                <w:rFonts w:hint="eastAsia"/>
                <w:sz w:val="18"/>
                <w:szCs w:val="18"/>
              </w:rPr>
            </w:pPr>
            <w:r>
              <w:rPr>
                <w:rFonts w:hint="eastAsia"/>
                <w:sz w:val="18"/>
                <w:szCs w:val="18"/>
              </w:rPr>
              <w:t>0</w:t>
            </w:r>
          </w:p>
        </w:tc>
        <w:tc>
          <w:tcPr>
            <w:tcW w:w="527" w:type="dxa"/>
            <w:vAlign w:val="center"/>
          </w:tcPr>
          <w:p>
            <w:pPr>
              <w:snapToGrid w:val="0"/>
              <w:ind w:left="-5" w:firstLine="3" w:firstLineChars="2"/>
              <w:jc w:val="center"/>
              <w:rPr>
                <w:rFonts w:hint="eastAsia"/>
                <w:sz w:val="18"/>
                <w:szCs w:val="18"/>
              </w:rPr>
            </w:pPr>
            <w:r>
              <w:rPr>
                <w:rFonts w:hint="eastAsia"/>
                <w:sz w:val="18"/>
                <w:szCs w:val="18"/>
              </w:rPr>
              <w:t>0</w:t>
            </w:r>
            <w:r>
              <w:rPr>
                <w:sz w:val="18"/>
                <w:szCs w:val="18"/>
              </w:rPr>
              <w:t>.5</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sz w:val="18"/>
                <w:szCs w:val="18"/>
              </w:rPr>
            </w:pPr>
            <w:r>
              <w:rPr>
                <w:rFonts w:hint="eastAsia"/>
                <w:sz w:val="18"/>
                <w:szCs w:val="18"/>
              </w:rPr>
              <w:t>4</w:t>
            </w: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sz w:val="18"/>
                <w:szCs w:val="18"/>
              </w:rPr>
            </w:pPr>
            <w:r>
              <w:rPr>
                <w:rFonts w:hint="eastAsia"/>
                <w:sz w:val="18"/>
                <w:szCs w:val="18"/>
              </w:rPr>
              <w:t>C</w:t>
            </w:r>
            <w:r>
              <w:rPr>
                <w:sz w:val="18"/>
                <w:szCs w:val="18"/>
              </w:rPr>
              <w:t>121018</w:t>
            </w:r>
          </w:p>
        </w:tc>
        <w:tc>
          <w:tcPr>
            <w:tcW w:w="2219" w:type="dxa"/>
            <w:vAlign w:val="center"/>
          </w:tcPr>
          <w:p>
            <w:pPr>
              <w:snapToGrid w:val="0"/>
              <w:ind w:left="-5" w:firstLine="3" w:firstLineChars="2"/>
              <w:rPr>
                <w:rFonts w:hint="eastAsia"/>
                <w:sz w:val="18"/>
                <w:szCs w:val="18"/>
              </w:rPr>
            </w:pPr>
            <w:r>
              <w:rPr>
                <w:rFonts w:hint="eastAsia"/>
                <w:sz w:val="18"/>
                <w:szCs w:val="18"/>
              </w:rPr>
              <w:t>形势与政策</w:t>
            </w:r>
            <w:r>
              <w:rPr>
                <w:sz w:val="18"/>
                <w:szCs w:val="18"/>
              </w:rPr>
              <w:fldChar w:fldCharType="begin"/>
            </w:r>
            <w:r>
              <w:rPr>
                <w:sz w:val="18"/>
                <w:szCs w:val="18"/>
              </w:rPr>
              <w:instrText xml:space="preserve"> </w:instrText>
            </w:r>
            <w:r>
              <w:rPr>
                <w:rFonts w:hint="eastAsia"/>
                <w:sz w:val="18"/>
                <w:szCs w:val="18"/>
              </w:rPr>
              <w:instrText xml:space="preserve">= 4 \* ROMAN</w:instrText>
            </w:r>
            <w:r>
              <w:rPr>
                <w:sz w:val="18"/>
                <w:szCs w:val="18"/>
              </w:rPr>
              <w:instrText xml:space="preserve"> </w:instrText>
            </w:r>
            <w:r>
              <w:rPr>
                <w:sz w:val="18"/>
                <w:szCs w:val="18"/>
              </w:rPr>
              <w:fldChar w:fldCharType="separate"/>
            </w:r>
            <w:r>
              <w:rPr>
                <w:sz w:val="18"/>
                <w:szCs w:val="18"/>
              </w:rPr>
              <w:t>IV</w:t>
            </w:r>
            <w:r>
              <w:rPr>
                <w:sz w:val="18"/>
                <w:szCs w:val="18"/>
              </w:rPr>
              <w:fldChar w:fldCharType="end"/>
            </w:r>
          </w:p>
        </w:tc>
        <w:tc>
          <w:tcPr>
            <w:tcW w:w="504" w:type="dxa"/>
            <w:vAlign w:val="center"/>
          </w:tcPr>
          <w:p>
            <w:pPr>
              <w:snapToGrid w:val="0"/>
              <w:ind w:left="-5" w:firstLine="3" w:firstLineChars="2"/>
              <w:jc w:val="center"/>
              <w:rPr>
                <w:rFonts w:hint="eastAsia"/>
                <w:sz w:val="18"/>
                <w:szCs w:val="18"/>
              </w:rPr>
            </w:pPr>
            <w:r>
              <w:rPr>
                <w:rFonts w:hint="eastAsia"/>
                <w:sz w:val="18"/>
                <w:szCs w:val="18"/>
              </w:rPr>
              <w:t>8</w:t>
            </w:r>
          </w:p>
        </w:tc>
        <w:tc>
          <w:tcPr>
            <w:tcW w:w="494" w:type="dxa"/>
            <w:vAlign w:val="center"/>
          </w:tcPr>
          <w:p>
            <w:pPr>
              <w:snapToGrid w:val="0"/>
              <w:ind w:left="-5" w:firstLine="3" w:firstLineChars="2"/>
              <w:jc w:val="center"/>
              <w:rPr>
                <w:rFonts w:hint="eastAsia"/>
                <w:sz w:val="18"/>
                <w:szCs w:val="18"/>
              </w:rPr>
            </w:pPr>
            <w:r>
              <w:rPr>
                <w:rFonts w:hint="eastAsia"/>
                <w:sz w:val="18"/>
                <w:szCs w:val="18"/>
              </w:rPr>
              <w:t>8</w:t>
            </w:r>
          </w:p>
        </w:tc>
        <w:tc>
          <w:tcPr>
            <w:tcW w:w="459" w:type="dxa"/>
            <w:vAlign w:val="center"/>
          </w:tcPr>
          <w:p>
            <w:pPr>
              <w:snapToGrid w:val="0"/>
              <w:ind w:left="-5" w:firstLine="3" w:firstLineChars="2"/>
              <w:jc w:val="center"/>
              <w:rPr>
                <w:rFonts w:hint="eastAsia"/>
                <w:sz w:val="18"/>
                <w:szCs w:val="18"/>
              </w:rPr>
            </w:pPr>
            <w:r>
              <w:rPr>
                <w:rFonts w:hint="eastAsia"/>
                <w:sz w:val="18"/>
                <w:szCs w:val="18"/>
              </w:rPr>
              <w:t>0</w:t>
            </w:r>
          </w:p>
        </w:tc>
        <w:tc>
          <w:tcPr>
            <w:tcW w:w="527" w:type="dxa"/>
            <w:vAlign w:val="center"/>
          </w:tcPr>
          <w:p>
            <w:pPr>
              <w:snapToGrid w:val="0"/>
              <w:ind w:left="-5" w:firstLine="3" w:firstLineChars="2"/>
              <w:jc w:val="center"/>
              <w:rPr>
                <w:rFonts w:hint="eastAsia"/>
                <w:sz w:val="18"/>
                <w:szCs w:val="18"/>
              </w:rPr>
            </w:pPr>
            <w:r>
              <w:rPr>
                <w:rFonts w:hint="eastAsia"/>
                <w:sz w:val="18"/>
                <w:szCs w:val="18"/>
              </w:rPr>
              <w:t>0</w:t>
            </w:r>
            <w:r>
              <w:rPr>
                <w:sz w:val="18"/>
                <w:szCs w:val="18"/>
              </w:rPr>
              <w:t>.5</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r>
              <w:rPr>
                <w:rFonts w:hint="eastAsia"/>
                <w:sz w:val="18"/>
                <w:szCs w:val="18"/>
              </w:rPr>
              <w:t>4</w:t>
            </w: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rFonts w:hint="eastAsia"/>
                <w:sz w:val="18"/>
                <w:szCs w:val="18"/>
              </w:rPr>
            </w:pPr>
            <w:r>
              <w:rPr>
                <w:sz w:val="18"/>
                <w:szCs w:val="18"/>
              </w:rPr>
              <w:t>C121005</w:t>
            </w:r>
          </w:p>
        </w:tc>
        <w:tc>
          <w:tcPr>
            <w:tcW w:w="2219" w:type="dxa"/>
            <w:vAlign w:val="center"/>
          </w:tcPr>
          <w:p>
            <w:pPr>
              <w:snapToGrid w:val="0"/>
              <w:ind w:left="-5" w:firstLine="3" w:firstLineChars="2"/>
              <w:rPr>
                <w:rFonts w:hint="eastAsia"/>
                <w:sz w:val="18"/>
                <w:szCs w:val="18"/>
              </w:rPr>
            </w:pPr>
            <w:r>
              <w:rPr>
                <w:rFonts w:hint="eastAsia"/>
                <w:sz w:val="18"/>
                <w:szCs w:val="18"/>
              </w:rPr>
              <w:t>职业发展与就业指导Ⅰ</w:t>
            </w:r>
          </w:p>
        </w:tc>
        <w:tc>
          <w:tcPr>
            <w:tcW w:w="504" w:type="dxa"/>
            <w:vAlign w:val="center"/>
          </w:tcPr>
          <w:p>
            <w:pPr>
              <w:snapToGrid w:val="0"/>
              <w:ind w:left="-5" w:firstLine="3" w:firstLineChars="2"/>
              <w:jc w:val="center"/>
              <w:rPr>
                <w:rFonts w:hint="eastAsia"/>
                <w:sz w:val="18"/>
                <w:szCs w:val="18"/>
              </w:rPr>
            </w:pPr>
            <w:r>
              <w:rPr>
                <w:rFonts w:hint="eastAsia"/>
                <w:sz w:val="18"/>
                <w:szCs w:val="18"/>
              </w:rPr>
              <w:t>18</w:t>
            </w:r>
          </w:p>
        </w:tc>
        <w:tc>
          <w:tcPr>
            <w:tcW w:w="494"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0</w:t>
            </w:r>
          </w:p>
        </w:tc>
        <w:tc>
          <w:tcPr>
            <w:tcW w:w="459" w:type="dxa"/>
            <w:vAlign w:val="center"/>
          </w:tcPr>
          <w:p>
            <w:pPr>
              <w:snapToGrid w:val="0"/>
              <w:ind w:left="-5" w:firstLine="3" w:firstLineChars="2"/>
              <w:jc w:val="center"/>
              <w:rPr>
                <w:rFonts w:hint="eastAsia"/>
                <w:sz w:val="18"/>
                <w:szCs w:val="18"/>
              </w:rPr>
            </w:pPr>
            <w:r>
              <w:rPr>
                <w:rFonts w:hint="eastAsia"/>
                <w:sz w:val="18"/>
                <w:szCs w:val="18"/>
              </w:rPr>
              <w:t>8</w:t>
            </w:r>
          </w:p>
        </w:tc>
        <w:tc>
          <w:tcPr>
            <w:tcW w:w="527"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.5</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sz w:val="18"/>
                <w:szCs w:val="18"/>
              </w:rPr>
            </w:pPr>
            <w:r>
              <w:rPr>
                <w:rFonts w:hint="eastAsia"/>
                <w:sz w:val="18"/>
                <w:szCs w:val="18"/>
              </w:rPr>
              <w:t>3</w:t>
            </w: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rFonts w:hint="eastAsia"/>
                <w:sz w:val="18"/>
                <w:szCs w:val="18"/>
              </w:rPr>
            </w:pPr>
            <w:r>
              <w:rPr>
                <w:sz w:val="18"/>
                <w:szCs w:val="18"/>
              </w:rPr>
              <w:t>C141005</w:t>
            </w:r>
          </w:p>
        </w:tc>
        <w:tc>
          <w:tcPr>
            <w:tcW w:w="2219" w:type="dxa"/>
            <w:vAlign w:val="center"/>
          </w:tcPr>
          <w:p>
            <w:pPr>
              <w:snapToGrid w:val="0"/>
              <w:ind w:left="-5" w:firstLine="3" w:firstLineChars="2"/>
              <w:rPr>
                <w:rFonts w:hint="eastAsia"/>
                <w:sz w:val="18"/>
                <w:szCs w:val="18"/>
              </w:rPr>
            </w:pPr>
            <w:r>
              <w:rPr>
                <w:rFonts w:hint="eastAsia"/>
                <w:sz w:val="18"/>
                <w:szCs w:val="18"/>
              </w:rPr>
              <w:t>劳动教育Ⅱ</w:t>
            </w:r>
          </w:p>
        </w:tc>
        <w:tc>
          <w:tcPr>
            <w:tcW w:w="504" w:type="dxa"/>
            <w:vAlign w:val="center"/>
          </w:tcPr>
          <w:p>
            <w:pPr>
              <w:snapToGrid w:val="0"/>
              <w:ind w:left="-5" w:firstLine="3" w:firstLineChars="2"/>
              <w:jc w:val="center"/>
              <w:rPr>
                <w:rFonts w:hint="eastAsia"/>
                <w:sz w:val="18"/>
                <w:szCs w:val="18"/>
              </w:rPr>
            </w:pPr>
            <w:r>
              <w:rPr>
                <w:rFonts w:hint="eastAsia"/>
                <w:sz w:val="18"/>
                <w:szCs w:val="18"/>
              </w:rPr>
              <w:t>30</w:t>
            </w:r>
          </w:p>
        </w:tc>
        <w:tc>
          <w:tcPr>
            <w:tcW w:w="494" w:type="dxa"/>
            <w:vAlign w:val="center"/>
          </w:tcPr>
          <w:p>
            <w:pPr>
              <w:snapToGrid w:val="0"/>
              <w:ind w:left="-5" w:firstLine="3" w:firstLineChars="2"/>
              <w:jc w:val="center"/>
              <w:rPr>
                <w:rFonts w:hint="eastAsia"/>
                <w:sz w:val="18"/>
                <w:szCs w:val="18"/>
              </w:rPr>
            </w:pPr>
            <w:r>
              <w:rPr>
                <w:rFonts w:hint="eastAsia"/>
                <w:sz w:val="18"/>
                <w:szCs w:val="18"/>
              </w:rPr>
              <w:t>0</w:t>
            </w:r>
          </w:p>
        </w:tc>
        <w:tc>
          <w:tcPr>
            <w:tcW w:w="459"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0</w:t>
            </w:r>
          </w:p>
        </w:tc>
        <w:tc>
          <w:tcPr>
            <w:tcW w:w="527" w:type="dxa"/>
            <w:vAlign w:val="center"/>
          </w:tcPr>
          <w:p>
            <w:pPr>
              <w:snapToGrid w:val="0"/>
              <w:ind w:left="-5" w:firstLine="3" w:firstLineChars="2"/>
              <w:jc w:val="center"/>
              <w:rPr>
                <w:rFonts w:hint="eastAsia"/>
                <w:sz w:val="18"/>
                <w:szCs w:val="18"/>
              </w:rPr>
            </w:pPr>
            <w:r>
              <w:rPr>
                <w:rFonts w:hint="eastAsia"/>
                <w:sz w:val="18"/>
                <w:szCs w:val="18"/>
              </w:rPr>
              <w:t>1</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sz w:val="18"/>
                <w:szCs w:val="18"/>
              </w:rPr>
            </w:pPr>
            <w:r>
              <w:rPr>
                <w:rFonts w:hint="eastAsia"/>
                <w:sz w:val="18"/>
                <w:szCs w:val="18"/>
              </w:rPr>
              <w:t>30</w:t>
            </w: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rFonts w:hint="eastAsia"/>
                <w:sz w:val="18"/>
                <w:szCs w:val="18"/>
              </w:rPr>
            </w:pPr>
            <w:r>
              <w:rPr>
                <w:sz w:val="18"/>
                <w:szCs w:val="18"/>
              </w:rPr>
              <w:t>C111014</w:t>
            </w:r>
          </w:p>
        </w:tc>
        <w:tc>
          <w:tcPr>
            <w:tcW w:w="2219" w:type="dxa"/>
            <w:vAlign w:val="center"/>
          </w:tcPr>
          <w:p>
            <w:pPr>
              <w:snapToGrid w:val="0"/>
              <w:ind w:left="-5" w:firstLine="3" w:firstLineChars="2"/>
              <w:rPr>
                <w:rFonts w:hint="eastAsia"/>
                <w:sz w:val="18"/>
                <w:szCs w:val="18"/>
              </w:rPr>
            </w:pPr>
            <w:r>
              <w:rPr>
                <w:rFonts w:hint="eastAsia"/>
                <w:sz w:val="18"/>
                <w:szCs w:val="18"/>
              </w:rPr>
              <w:t>体育Ⅳ</w:t>
            </w:r>
          </w:p>
        </w:tc>
        <w:tc>
          <w:tcPr>
            <w:tcW w:w="504" w:type="dxa"/>
            <w:vAlign w:val="center"/>
          </w:tcPr>
          <w:p>
            <w:pPr>
              <w:snapToGrid w:val="0"/>
              <w:ind w:left="-5" w:firstLine="3" w:firstLineChars="2"/>
              <w:jc w:val="center"/>
              <w:rPr>
                <w:rFonts w:hint="eastAsia"/>
                <w:sz w:val="18"/>
                <w:szCs w:val="18"/>
              </w:rPr>
            </w:pPr>
            <w:r>
              <w:rPr>
                <w:rFonts w:hint="eastAsia"/>
                <w:sz w:val="18"/>
                <w:szCs w:val="18"/>
              </w:rPr>
              <w:t>28</w:t>
            </w:r>
          </w:p>
        </w:tc>
        <w:tc>
          <w:tcPr>
            <w:tcW w:w="494" w:type="dxa"/>
            <w:vAlign w:val="center"/>
          </w:tcPr>
          <w:p>
            <w:pPr>
              <w:snapToGrid w:val="0"/>
              <w:ind w:left="-5" w:firstLine="3" w:firstLineChars="2"/>
              <w:jc w:val="center"/>
              <w:rPr>
                <w:rFonts w:hint="eastAsia"/>
                <w:sz w:val="18"/>
                <w:szCs w:val="18"/>
              </w:rPr>
            </w:pPr>
            <w:r>
              <w:rPr>
                <w:rFonts w:hint="eastAsia"/>
                <w:sz w:val="18"/>
                <w:szCs w:val="18"/>
              </w:rPr>
              <w:t>0</w:t>
            </w:r>
          </w:p>
        </w:tc>
        <w:tc>
          <w:tcPr>
            <w:tcW w:w="459" w:type="dxa"/>
            <w:vAlign w:val="center"/>
          </w:tcPr>
          <w:p>
            <w:pPr>
              <w:snapToGrid w:val="0"/>
              <w:ind w:left="-5" w:firstLine="3" w:firstLineChars="2"/>
              <w:jc w:val="center"/>
              <w:rPr>
                <w:rFonts w:hint="eastAsia"/>
                <w:sz w:val="18"/>
                <w:szCs w:val="18"/>
              </w:rPr>
            </w:pPr>
            <w:r>
              <w:rPr>
                <w:rFonts w:hint="eastAsia"/>
                <w:sz w:val="18"/>
                <w:szCs w:val="18"/>
              </w:rPr>
              <w:t>2</w:t>
            </w:r>
            <w:r>
              <w:rPr>
                <w:sz w:val="18"/>
                <w:szCs w:val="18"/>
              </w:rPr>
              <w:t>8</w:t>
            </w:r>
          </w:p>
        </w:tc>
        <w:tc>
          <w:tcPr>
            <w:tcW w:w="527" w:type="dxa"/>
            <w:vAlign w:val="center"/>
          </w:tcPr>
          <w:p>
            <w:pPr>
              <w:snapToGrid w:val="0"/>
              <w:ind w:left="-5" w:firstLine="3" w:firstLineChars="2"/>
              <w:jc w:val="center"/>
              <w:rPr>
                <w:rFonts w:hint="eastAsia"/>
                <w:sz w:val="18"/>
                <w:szCs w:val="18"/>
              </w:rPr>
            </w:pPr>
            <w:r>
              <w:rPr>
                <w:rFonts w:hint="eastAsia"/>
                <w:sz w:val="18"/>
                <w:szCs w:val="18"/>
              </w:rPr>
              <w:t>1</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r>
              <w:rPr>
                <w:rFonts w:hint="eastAsia"/>
                <w:sz w:val="18"/>
                <w:szCs w:val="18"/>
              </w:rPr>
              <w:t>2</w:t>
            </w: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rFonts w:hint="eastAsia"/>
                <w:sz w:val="18"/>
                <w:szCs w:val="18"/>
              </w:rPr>
            </w:pPr>
            <w:r>
              <w:rPr>
                <w:sz w:val="18"/>
                <w:szCs w:val="18"/>
              </w:rPr>
              <w:t>C141008</w:t>
            </w:r>
          </w:p>
        </w:tc>
        <w:tc>
          <w:tcPr>
            <w:tcW w:w="2219" w:type="dxa"/>
            <w:vAlign w:val="center"/>
          </w:tcPr>
          <w:p>
            <w:pPr>
              <w:snapToGrid w:val="0"/>
              <w:ind w:left="-5" w:firstLine="3" w:firstLineChars="2"/>
              <w:rPr>
                <w:rFonts w:hint="eastAsia"/>
                <w:sz w:val="18"/>
                <w:szCs w:val="18"/>
              </w:rPr>
            </w:pPr>
            <w:r>
              <w:rPr>
                <w:rFonts w:hint="eastAsia"/>
                <w:sz w:val="18"/>
                <w:szCs w:val="18"/>
              </w:rPr>
              <w:t>大学生创新创业基础</w:t>
            </w:r>
          </w:p>
        </w:tc>
        <w:tc>
          <w:tcPr>
            <w:tcW w:w="504"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6</w:t>
            </w:r>
          </w:p>
        </w:tc>
        <w:tc>
          <w:tcPr>
            <w:tcW w:w="494"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4</w:t>
            </w:r>
          </w:p>
        </w:tc>
        <w:tc>
          <w:tcPr>
            <w:tcW w:w="459" w:type="dxa"/>
            <w:vAlign w:val="center"/>
          </w:tcPr>
          <w:p>
            <w:pPr>
              <w:snapToGrid w:val="0"/>
              <w:ind w:left="-5" w:firstLine="3" w:firstLineChars="2"/>
              <w:jc w:val="center"/>
              <w:rPr>
                <w:rFonts w:hint="eastAsia"/>
                <w:sz w:val="18"/>
                <w:szCs w:val="18"/>
              </w:rPr>
            </w:pPr>
            <w:r>
              <w:rPr>
                <w:sz w:val="18"/>
                <w:szCs w:val="18"/>
              </w:rPr>
              <w:t>2</w:t>
            </w:r>
          </w:p>
        </w:tc>
        <w:tc>
          <w:tcPr>
            <w:tcW w:w="527" w:type="dxa"/>
            <w:vAlign w:val="center"/>
          </w:tcPr>
          <w:p>
            <w:pPr>
              <w:snapToGrid w:val="0"/>
              <w:ind w:left="-5" w:firstLine="3" w:firstLineChars="2"/>
              <w:jc w:val="center"/>
              <w:rPr>
                <w:rFonts w:hint="eastAsia"/>
                <w:sz w:val="18"/>
                <w:szCs w:val="18"/>
              </w:rPr>
            </w:pPr>
            <w:r>
              <w:rPr>
                <w:rFonts w:hint="eastAsia"/>
                <w:sz w:val="18"/>
                <w:szCs w:val="18"/>
              </w:rPr>
              <w:t>1</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2</w:t>
            </w: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sz w:val="18"/>
                <w:szCs w:val="18"/>
              </w:rPr>
            </w:pPr>
          </w:p>
        </w:tc>
        <w:tc>
          <w:tcPr>
            <w:tcW w:w="2219" w:type="dxa"/>
            <w:vAlign w:val="center"/>
          </w:tcPr>
          <w:p>
            <w:pPr>
              <w:snapToGrid w:val="0"/>
              <w:ind w:left="-5" w:firstLine="3" w:firstLineChars="2"/>
              <w:rPr>
                <w:rFonts w:hint="eastAsia" w:eastAsia="宋体"/>
                <w:sz w:val="18"/>
                <w:szCs w:val="18"/>
                <w:lang w:eastAsia="zh-CN"/>
              </w:rPr>
            </w:pPr>
            <w:r>
              <w:rPr>
                <w:rFonts w:hint="eastAsia"/>
                <w:sz w:val="18"/>
                <w:szCs w:val="18"/>
                <w:lang w:eastAsia="zh-CN"/>
              </w:rPr>
              <w:t>大学美育导论</w:t>
            </w:r>
          </w:p>
        </w:tc>
        <w:tc>
          <w:tcPr>
            <w:tcW w:w="504"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16</w:t>
            </w:r>
          </w:p>
        </w:tc>
        <w:tc>
          <w:tcPr>
            <w:tcW w:w="494"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16</w:t>
            </w:r>
          </w:p>
        </w:tc>
        <w:tc>
          <w:tcPr>
            <w:tcW w:w="459" w:type="dxa"/>
            <w:vAlign w:val="center"/>
          </w:tcPr>
          <w:p>
            <w:pPr>
              <w:snapToGrid w:val="0"/>
              <w:ind w:left="-5" w:firstLine="3" w:firstLineChars="2"/>
              <w:jc w:val="center"/>
              <w:rPr>
                <w:rFonts w:hint="eastAsia" w:eastAsia="宋体"/>
                <w:sz w:val="18"/>
                <w:szCs w:val="18"/>
                <w:lang w:val="en-US" w:eastAsia="zh-CN"/>
              </w:rPr>
            </w:pPr>
            <w:r>
              <w:rPr>
                <w:rFonts w:hint="eastAsia"/>
                <w:sz w:val="18"/>
                <w:szCs w:val="18"/>
                <w:lang w:val="en-US" w:eastAsia="zh-CN"/>
              </w:rPr>
              <w:t>0</w:t>
            </w:r>
          </w:p>
        </w:tc>
        <w:tc>
          <w:tcPr>
            <w:tcW w:w="527" w:type="dxa"/>
            <w:vAlign w:val="center"/>
          </w:tcPr>
          <w:p>
            <w:pPr>
              <w:snapToGrid w:val="0"/>
              <w:ind w:left="-5" w:firstLine="3" w:firstLineChars="2"/>
              <w:jc w:val="center"/>
              <w:rPr>
                <w:rFonts w:hint="eastAsia" w:eastAsia="宋体"/>
                <w:sz w:val="18"/>
                <w:szCs w:val="18"/>
                <w:lang w:val="en-US" w:eastAsia="zh-CN"/>
              </w:rPr>
            </w:pPr>
            <w:r>
              <w:rPr>
                <w:rFonts w:hint="eastAsia"/>
                <w:sz w:val="18"/>
                <w:szCs w:val="18"/>
                <w:lang w:val="en-US" w:eastAsia="zh-CN"/>
              </w:rPr>
              <w:t>1</w:t>
            </w:r>
          </w:p>
        </w:tc>
        <w:tc>
          <w:tcPr>
            <w:tcW w:w="422"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2</w:t>
            </w: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eastAsia="宋体"/>
                <w:sz w:val="18"/>
                <w:szCs w:val="18"/>
                <w:lang w:val="en-US" w:eastAsia="zh-CN"/>
              </w:rPr>
            </w:pP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pacing w:val="-4"/>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994" w:type="dxa"/>
            <w:vAlign w:val="center"/>
          </w:tcPr>
          <w:p>
            <w:pPr>
              <w:snapToGrid w:val="0"/>
              <w:ind w:left="-5" w:firstLine="3" w:firstLineChars="2"/>
              <w:rPr>
                <w:rFonts w:hint="eastAsia"/>
                <w:sz w:val="18"/>
                <w:szCs w:val="18"/>
              </w:rPr>
            </w:pPr>
            <w:r>
              <w:rPr>
                <w:sz w:val="18"/>
                <w:szCs w:val="18"/>
              </w:rPr>
              <w:t>C121006</w:t>
            </w:r>
          </w:p>
        </w:tc>
        <w:tc>
          <w:tcPr>
            <w:tcW w:w="2219" w:type="dxa"/>
            <w:vAlign w:val="center"/>
          </w:tcPr>
          <w:p>
            <w:pPr>
              <w:snapToGrid w:val="0"/>
              <w:ind w:left="-5" w:firstLine="3" w:firstLineChars="2"/>
              <w:rPr>
                <w:rFonts w:hint="eastAsia"/>
                <w:sz w:val="18"/>
                <w:szCs w:val="18"/>
              </w:rPr>
            </w:pPr>
            <w:r>
              <w:rPr>
                <w:rFonts w:hint="eastAsia"/>
                <w:sz w:val="18"/>
                <w:szCs w:val="18"/>
              </w:rPr>
              <w:t>职业发展与就业指导Ⅱ</w:t>
            </w:r>
          </w:p>
        </w:tc>
        <w:tc>
          <w:tcPr>
            <w:tcW w:w="504" w:type="dxa"/>
            <w:vAlign w:val="center"/>
          </w:tcPr>
          <w:p>
            <w:pPr>
              <w:snapToGrid w:val="0"/>
              <w:ind w:left="-5" w:firstLine="3" w:firstLineChars="2"/>
              <w:jc w:val="center"/>
              <w:rPr>
                <w:rFonts w:hint="eastAsia"/>
                <w:sz w:val="18"/>
                <w:szCs w:val="18"/>
              </w:rPr>
            </w:pPr>
            <w:r>
              <w:rPr>
                <w:rFonts w:hint="eastAsia"/>
                <w:sz w:val="18"/>
                <w:szCs w:val="18"/>
              </w:rPr>
              <w:t>20</w:t>
            </w:r>
          </w:p>
        </w:tc>
        <w:tc>
          <w:tcPr>
            <w:tcW w:w="494"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0</w:t>
            </w:r>
          </w:p>
        </w:tc>
        <w:tc>
          <w:tcPr>
            <w:tcW w:w="459"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0</w:t>
            </w:r>
          </w:p>
        </w:tc>
        <w:tc>
          <w:tcPr>
            <w:tcW w:w="527" w:type="dxa"/>
            <w:vAlign w:val="center"/>
          </w:tcPr>
          <w:p>
            <w:pPr>
              <w:snapToGrid w:val="0"/>
              <w:ind w:left="-5" w:firstLine="3" w:firstLineChars="2"/>
              <w:jc w:val="center"/>
              <w:rPr>
                <w:rFonts w:hint="eastAsia"/>
                <w:sz w:val="18"/>
                <w:szCs w:val="18"/>
              </w:rPr>
            </w:pPr>
            <w:r>
              <w:rPr>
                <w:rFonts w:hint="eastAsia"/>
                <w:sz w:val="18"/>
                <w:szCs w:val="18"/>
              </w:rPr>
              <w:t>1</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r>
              <w:rPr>
                <w:rFonts w:hint="eastAsia"/>
                <w:sz w:val="18"/>
                <w:szCs w:val="18"/>
              </w:rPr>
              <w:t>3</w:t>
            </w:r>
          </w:p>
        </w:tc>
        <w:tc>
          <w:tcPr>
            <w:tcW w:w="380" w:type="dxa"/>
            <w:vAlign w:val="center"/>
          </w:tcPr>
          <w:p>
            <w:pPr>
              <w:snapToGrid w:val="0"/>
              <w:ind w:left="-5" w:firstLine="3" w:firstLineChars="2"/>
              <w:jc w:val="center"/>
              <w:rPr>
                <w:rFonts w:hint="eastAsia"/>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vAlign w:val="center"/>
          </w:tcPr>
          <w:p>
            <w:pPr>
              <w:snapToGrid w:val="0"/>
              <w:ind w:left="-5" w:firstLine="4" w:firstLineChars="2"/>
              <w:jc w:val="center"/>
              <w:rPr>
                <w:rFonts w:hint="eastAsia"/>
                <w:b/>
                <w:sz w:val="18"/>
                <w:szCs w:val="18"/>
              </w:rPr>
            </w:pPr>
          </w:p>
        </w:tc>
        <w:tc>
          <w:tcPr>
            <w:tcW w:w="3213" w:type="dxa"/>
            <w:gridSpan w:val="2"/>
            <w:vAlign w:val="center"/>
          </w:tcPr>
          <w:p>
            <w:pPr>
              <w:snapToGrid w:val="0"/>
              <w:ind w:left="-5" w:firstLine="4" w:firstLineChars="2"/>
              <w:jc w:val="center"/>
              <w:rPr>
                <w:rFonts w:hint="eastAsia" w:hAnsi="Times New Roman"/>
                <w:b/>
                <w:sz w:val="18"/>
                <w:szCs w:val="18"/>
                <w:lang w:val="zh-CN"/>
              </w:rPr>
            </w:pPr>
            <w:r>
              <w:rPr>
                <w:rFonts w:hint="eastAsia" w:hAnsi="Times New Roman"/>
                <w:b/>
                <w:sz w:val="18"/>
                <w:szCs w:val="18"/>
                <w:lang w:val="zh-CN"/>
              </w:rPr>
              <w:t>小计</w:t>
            </w:r>
          </w:p>
        </w:tc>
        <w:tc>
          <w:tcPr>
            <w:tcW w:w="504" w:type="dxa"/>
            <w:tcBorders>
              <w:top w:val="nil"/>
              <w:left w:val="nil"/>
              <w:bottom w:val="nil"/>
              <w:right w:val="nil"/>
            </w:tcBorders>
            <w:vAlign w:val="center"/>
          </w:tcPr>
          <w:p>
            <w:pPr>
              <w:widowControl/>
              <w:jc w:val="right"/>
              <w:rPr>
                <w:rFonts w:hint="default" w:ascii="等线" w:hAnsi="等线" w:eastAsia="等线"/>
                <w:b/>
                <w:bCs/>
                <w:color w:val="000000"/>
                <w:sz w:val="18"/>
                <w:szCs w:val="18"/>
                <w:lang w:val="en-US"/>
              </w:rPr>
            </w:pPr>
            <w:r>
              <w:rPr>
                <w:rFonts w:hint="eastAsia" w:ascii="等线" w:hAnsi="等线" w:eastAsia="等线"/>
                <w:b/>
                <w:bCs/>
                <w:color w:val="000000"/>
                <w:sz w:val="18"/>
                <w:szCs w:val="18"/>
                <w:lang w:val="en-US" w:eastAsia="zh-CN"/>
              </w:rPr>
              <w:t>846</w:t>
            </w:r>
          </w:p>
        </w:tc>
        <w:tc>
          <w:tcPr>
            <w:tcW w:w="494" w:type="dxa"/>
            <w:tcBorders>
              <w:top w:val="nil"/>
              <w:left w:val="nil"/>
              <w:bottom w:val="nil"/>
              <w:right w:val="nil"/>
            </w:tcBorders>
            <w:vAlign w:val="center"/>
          </w:tcPr>
          <w:p>
            <w:pPr>
              <w:jc w:val="right"/>
              <w:rPr>
                <w:rFonts w:hint="default" w:ascii="等线" w:hAnsi="等线" w:eastAsia="等线"/>
                <w:b/>
                <w:bCs/>
                <w:color w:val="000000"/>
                <w:sz w:val="18"/>
                <w:szCs w:val="18"/>
                <w:lang w:val="en-US"/>
              </w:rPr>
            </w:pPr>
            <w:r>
              <w:rPr>
                <w:rFonts w:hint="eastAsia" w:ascii="等线" w:hAnsi="等线" w:eastAsia="等线"/>
                <w:b/>
                <w:bCs/>
                <w:color w:val="000000"/>
                <w:sz w:val="18"/>
                <w:szCs w:val="18"/>
                <w:lang w:val="en-US" w:eastAsia="zh-CN"/>
              </w:rPr>
              <w:t>468</w:t>
            </w:r>
          </w:p>
        </w:tc>
        <w:tc>
          <w:tcPr>
            <w:tcW w:w="459" w:type="dxa"/>
            <w:tcBorders>
              <w:top w:val="nil"/>
              <w:left w:val="nil"/>
              <w:bottom w:val="nil"/>
              <w:right w:val="nil"/>
            </w:tcBorders>
            <w:vAlign w:val="center"/>
          </w:tcPr>
          <w:p>
            <w:pPr>
              <w:jc w:val="right"/>
              <w:rPr>
                <w:rFonts w:hint="eastAsia" w:ascii="等线" w:hAnsi="等线" w:eastAsia="等线"/>
                <w:b/>
                <w:bCs/>
                <w:color w:val="000000"/>
                <w:sz w:val="18"/>
                <w:szCs w:val="18"/>
              </w:rPr>
            </w:pPr>
            <w:r>
              <w:rPr>
                <w:rFonts w:ascii="等线" w:hAnsi="等线" w:eastAsia="等线"/>
                <w:b/>
                <w:bCs/>
                <w:color w:val="000000"/>
                <w:sz w:val="18"/>
                <w:szCs w:val="18"/>
              </w:rPr>
              <w:t>3</w:t>
            </w:r>
            <w:r>
              <w:rPr>
                <w:rFonts w:hint="eastAsia" w:ascii="等线" w:hAnsi="等线" w:eastAsia="等线"/>
                <w:b/>
                <w:bCs/>
                <w:color w:val="000000"/>
                <w:sz w:val="18"/>
                <w:szCs w:val="18"/>
                <w:lang w:val="en-US" w:eastAsia="zh-CN"/>
              </w:rPr>
              <w:t>78</w:t>
            </w:r>
          </w:p>
        </w:tc>
        <w:tc>
          <w:tcPr>
            <w:tcW w:w="527" w:type="dxa"/>
            <w:tcBorders>
              <w:top w:val="nil"/>
              <w:left w:val="nil"/>
              <w:bottom w:val="nil"/>
              <w:right w:val="nil"/>
            </w:tcBorders>
            <w:vAlign w:val="center"/>
          </w:tcPr>
          <w:p>
            <w:pPr>
              <w:jc w:val="right"/>
              <w:rPr>
                <w:rFonts w:hint="default" w:ascii="等线" w:hAnsi="等线" w:eastAsia="等线"/>
                <w:b/>
                <w:bCs/>
                <w:color w:val="000000"/>
                <w:sz w:val="18"/>
                <w:szCs w:val="18"/>
                <w:lang w:val="en-US" w:eastAsia="zh-CN"/>
              </w:rPr>
            </w:pPr>
            <w:r>
              <w:rPr>
                <w:rFonts w:hint="eastAsia" w:ascii="等线" w:hAnsi="等线" w:eastAsia="等线"/>
                <w:b/>
                <w:bCs/>
                <w:color w:val="000000"/>
                <w:sz w:val="18"/>
                <w:szCs w:val="18"/>
                <w:lang w:val="en-US" w:eastAsia="zh-CN"/>
              </w:rPr>
              <w:t>47</w:t>
            </w:r>
          </w:p>
        </w:tc>
        <w:tc>
          <w:tcPr>
            <w:tcW w:w="422" w:type="dxa"/>
            <w:tcBorders>
              <w:top w:val="nil"/>
              <w:left w:val="nil"/>
              <w:bottom w:val="nil"/>
              <w:right w:val="nil"/>
            </w:tcBorders>
            <w:vAlign w:val="center"/>
          </w:tcPr>
          <w:p>
            <w:pPr>
              <w:jc w:val="right"/>
              <w:rPr>
                <w:rFonts w:hint="default" w:ascii="等线" w:hAnsi="等线" w:eastAsia="等线"/>
                <w:b/>
                <w:bCs/>
                <w:color w:val="000000"/>
                <w:sz w:val="18"/>
                <w:szCs w:val="18"/>
                <w:lang w:val="en-US" w:eastAsia="zh-CN"/>
              </w:rPr>
            </w:pPr>
            <w:r>
              <w:rPr>
                <w:rFonts w:hint="eastAsia" w:ascii="等线" w:hAnsi="等线" w:eastAsia="等线"/>
                <w:b/>
                <w:bCs/>
                <w:color w:val="000000"/>
                <w:sz w:val="18"/>
                <w:szCs w:val="18"/>
                <w:lang w:val="en-US" w:eastAsia="zh-CN"/>
              </w:rPr>
              <w:t>30</w:t>
            </w:r>
          </w:p>
        </w:tc>
        <w:tc>
          <w:tcPr>
            <w:tcW w:w="380" w:type="dxa"/>
            <w:tcBorders>
              <w:top w:val="nil"/>
              <w:left w:val="nil"/>
              <w:bottom w:val="nil"/>
              <w:right w:val="nil"/>
            </w:tcBorders>
            <w:vAlign w:val="center"/>
          </w:tcPr>
          <w:p>
            <w:pPr>
              <w:jc w:val="right"/>
              <w:rPr>
                <w:rFonts w:hint="default" w:ascii="等线" w:hAnsi="等线" w:eastAsia="等线"/>
                <w:b/>
                <w:bCs/>
                <w:color w:val="000000"/>
                <w:sz w:val="18"/>
                <w:szCs w:val="18"/>
                <w:lang w:val="en-US" w:eastAsia="zh-CN"/>
              </w:rPr>
            </w:pPr>
            <w:r>
              <w:rPr>
                <w:rFonts w:hint="eastAsia" w:ascii="等线" w:hAnsi="等线" w:eastAsia="等线"/>
                <w:b/>
                <w:bCs/>
                <w:color w:val="000000"/>
                <w:sz w:val="18"/>
                <w:szCs w:val="18"/>
                <w:lang w:val="en-US" w:eastAsia="zh-CN"/>
              </w:rPr>
              <w:t>34</w:t>
            </w:r>
          </w:p>
        </w:tc>
        <w:tc>
          <w:tcPr>
            <w:tcW w:w="402" w:type="dxa"/>
            <w:tcBorders>
              <w:top w:val="nil"/>
              <w:left w:val="nil"/>
              <w:bottom w:val="nil"/>
              <w:right w:val="nil"/>
            </w:tcBorders>
            <w:vAlign w:val="center"/>
          </w:tcPr>
          <w:p>
            <w:pPr>
              <w:jc w:val="right"/>
              <w:rPr>
                <w:rFonts w:hint="default" w:ascii="等线" w:hAnsi="等线" w:eastAsia="等线"/>
                <w:b/>
                <w:bCs/>
                <w:color w:val="000000"/>
                <w:sz w:val="18"/>
                <w:szCs w:val="18"/>
                <w:lang w:val="en-US" w:eastAsia="zh-CN"/>
              </w:rPr>
            </w:pPr>
            <w:r>
              <w:rPr>
                <w:rFonts w:hint="eastAsia" w:ascii="等线" w:hAnsi="等线" w:eastAsia="等线"/>
                <w:b/>
                <w:bCs/>
                <w:color w:val="000000"/>
                <w:sz w:val="18"/>
                <w:szCs w:val="18"/>
                <w:lang w:val="en-US" w:eastAsia="zh-CN"/>
              </w:rPr>
              <w:t>76</w:t>
            </w:r>
          </w:p>
        </w:tc>
        <w:tc>
          <w:tcPr>
            <w:tcW w:w="380" w:type="dxa"/>
            <w:tcBorders>
              <w:top w:val="nil"/>
              <w:left w:val="nil"/>
              <w:bottom w:val="nil"/>
              <w:right w:val="nil"/>
            </w:tcBorders>
            <w:vAlign w:val="center"/>
          </w:tcPr>
          <w:p>
            <w:pPr>
              <w:jc w:val="right"/>
              <w:rPr>
                <w:rFonts w:hint="eastAsia" w:ascii="等线" w:hAnsi="等线" w:eastAsia="等线"/>
                <w:b/>
                <w:bCs/>
                <w:color w:val="000000"/>
                <w:sz w:val="18"/>
                <w:szCs w:val="18"/>
                <w:lang w:eastAsia="zh-CN"/>
              </w:rPr>
            </w:pPr>
            <w:r>
              <w:rPr>
                <w:rFonts w:hint="eastAsia" w:ascii="等线" w:hAnsi="等线" w:eastAsia="等线"/>
                <w:b/>
                <w:bCs/>
                <w:color w:val="000000"/>
                <w:sz w:val="18"/>
                <w:szCs w:val="18"/>
                <w:lang w:val="en-US" w:eastAsia="zh-CN"/>
              </w:rPr>
              <w:t>9</w:t>
            </w:r>
          </w:p>
        </w:tc>
        <w:tc>
          <w:tcPr>
            <w:tcW w:w="380" w:type="dxa"/>
            <w:vAlign w:val="center"/>
          </w:tcPr>
          <w:p>
            <w:pPr>
              <w:snapToGrid w:val="0"/>
              <w:ind w:left="-5" w:firstLine="4" w:firstLineChars="2"/>
              <w:jc w:val="center"/>
              <w:rPr>
                <w:rFonts w:hint="eastAsia"/>
                <w:b/>
                <w:bCs/>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Align w:val="center"/>
          </w:tcPr>
          <w:p>
            <w:pPr>
              <w:snapToGrid w:val="0"/>
              <w:ind w:left="-5" w:firstLine="4" w:firstLineChars="2"/>
              <w:jc w:val="center"/>
              <w:rPr>
                <w:rFonts w:hint="eastAsia"/>
                <w:b/>
                <w:sz w:val="18"/>
                <w:szCs w:val="18"/>
              </w:rPr>
            </w:pPr>
            <w:r>
              <w:rPr>
                <w:rFonts w:hint="eastAsia"/>
                <w:b/>
                <w:sz w:val="18"/>
                <w:szCs w:val="18"/>
              </w:rPr>
              <w:t>公共</w:t>
            </w:r>
          </w:p>
          <w:p>
            <w:pPr>
              <w:snapToGrid w:val="0"/>
              <w:ind w:left="-5" w:firstLine="4" w:firstLineChars="2"/>
              <w:jc w:val="center"/>
              <w:rPr>
                <w:rFonts w:hint="eastAsia"/>
                <w:b/>
                <w:sz w:val="18"/>
                <w:szCs w:val="18"/>
              </w:rPr>
            </w:pPr>
            <w:r>
              <w:rPr>
                <w:rFonts w:hint="eastAsia"/>
                <w:b/>
                <w:sz w:val="18"/>
                <w:szCs w:val="18"/>
              </w:rPr>
              <w:t>选修课</w:t>
            </w:r>
          </w:p>
        </w:tc>
        <w:tc>
          <w:tcPr>
            <w:tcW w:w="3213" w:type="dxa"/>
            <w:gridSpan w:val="2"/>
            <w:vAlign w:val="center"/>
          </w:tcPr>
          <w:p>
            <w:pPr>
              <w:snapToGrid w:val="0"/>
              <w:ind w:left="-5" w:firstLine="4" w:firstLineChars="2"/>
              <w:jc w:val="center"/>
              <w:rPr>
                <w:rFonts w:hint="eastAsia" w:hAnsi="Times New Roman"/>
                <w:b/>
                <w:sz w:val="18"/>
                <w:szCs w:val="18"/>
                <w:lang w:val="zh-CN"/>
              </w:rPr>
            </w:pPr>
            <w:r>
              <w:rPr>
                <w:rFonts w:hint="eastAsia" w:hAnsi="Times New Roman"/>
                <w:b/>
                <w:sz w:val="18"/>
                <w:szCs w:val="18"/>
                <w:lang w:val="zh-CN"/>
              </w:rPr>
              <w:t>小计</w:t>
            </w:r>
          </w:p>
        </w:tc>
        <w:tc>
          <w:tcPr>
            <w:tcW w:w="504" w:type="dxa"/>
            <w:vAlign w:val="center"/>
          </w:tcPr>
          <w:p>
            <w:pPr>
              <w:snapToGrid w:val="0"/>
              <w:ind w:left="-5" w:firstLine="4" w:firstLineChars="2"/>
              <w:jc w:val="center"/>
              <w:rPr>
                <w:b/>
                <w:sz w:val="18"/>
                <w:szCs w:val="18"/>
              </w:rPr>
            </w:pPr>
            <w:r>
              <w:rPr>
                <w:rFonts w:hint="eastAsia"/>
                <w:b/>
                <w:sz w:val="18"/>
                <w:szCs w:val="18"/>
              </w:rPr>
              <w:t>192</w:t>
            </w:r>
          </w:p>
        </w:tc>
        <w:tc>
          <w:tcPr>
            <w:tcW w:w="494" w:type="dxa"/>
            <w:vAlign w:val="center"/>
          </w:tcPr>
          <w:p>
            <w:pPr>
              <w:snapToGrid w:val="0"/>
              <w:ind w:left="-5" w:firstLine="4" w:firstLineChars="2"/>
              <w:jc w:val="center"/>
              <w:rPr>
                <w:rFonts w:hint="eastAsia"/>
                <w:b/>
                <w:sz w:val="18"/>
                <w:szCs w:val="18"/>
              </w:rPr>
            </w:pPr>
          </w:p>
        </w:tc>
        <w:tc>
          <w:tcPr>
            <w:tcW w:w="459" w:type="dxa"/>
            <w:vAlign w:val="center"/>
          </w:tcPr>
          <w:p>
            <w:pPr>
              <w:snapToGrid w:val="0"/>
              <w:ind w:left="-5" w:firstLine="4" w:firstLineChars="2"/>
              <w:jc w:val="center"/>
              <w:rPr>
                <w:rFonts w:hint="eastAsia"/>
                <w:b/>
                <w:sz w:val="18"/>
                <w:szCs w:val="18"/>
              </w:rPr>
            </w:pPr>
          </w:p>
        </w:tc>
        <w:tc>
          <w:tcPr>
            <w:tcW w:w="527" w:type="dxa"/>
            <w:vAlign w:val="center"/>
          </w:tcPr>
          <w:p>
            <w:pPr>
              <w:snapToGrid w:val="0"/>
              <w:ind w:left="-5" w:firstLine="4" w:firstLineChars="2"/>
              <w:jc w:val="center"/>
              <w:rPr>
                <w:b/>
                <w:sz w:val="18"/>
                <w:szCs w:val="18"/>
              </w:rPr>
            </w:pPr>
            <w:r>
              <w:rPr>
                <w:rFonts w:hint="eastAsia"/>
                <w:b/>
                <w:sz w:val="18"/>
                <w:szCs w:val="18"/>
              </w:rPr>
              <w:t>12</w:t>
            </w:r>
          </w:p>
        </w:tc>
        <w:tc>
          <w:tcPr>
            <w:tcW w:w="422" w:type="dxa"/>
            <w:vAlign w:val="center"/>
          </w:tcPr>
          <w:p>
            <w:pPr>
              <w:snapToGrid w:val="0"/>
              <w:ind w:left="-5" w:firstLine="4" w:firstLineChars="2"/>
              <w:jc w:val="center"/>
              <w:rPr>
                <w:b/>
                <w:bCs/>
                <w:sz w:val="18"/>
                <w:szCs w:val="18"/>
              </w:rPr>
            </w:pPr>
          </w:p>
        </w:tc>
        <w:tc>
          <w:tcPr>
            <w:tcW w:w="380" w:type="dxa"/>
            <w:vAlign w:val="center"/>
          </w:tcPr>
          <w:p>
            <w:pPr>
              <w:snapToGrid w:val="0"/>
              <w:ind w:left="-5" w:firstLine="4" w:firstLineChars="2"/>
              <w:jc w:val="center"/>
              <w:rPr>
                <w:rFonts w:hint="eastAsia"/>
                <w:b/>
                <w:bCs/>
                <w:sz w:val="18"/>
                <w:szCs w:val="18"/>
              </w:rPr>
            </w:pPr>
          </w:p>
        </w:tc>
        <w:tc>
          <w:tcPr>
            <w:tcW w:w="402" w:type="dxa"/>
            <w:vAlign w:val="center"/>
          </w:tcPr>
          <w:p>
            <w:pPr>
              <w:snapToGrid w:val="0"/>
              <w:ind w:left="-5" w:firstLine="4" w:firstLineChars="2"/>
              <w:jc w:val="center"/>
              <w:rPr>
                <w:rFonts w:hint="eastAsia"/>
                <w:b/>
                <w:bCs/>
                <w:sz w:val="18"/>
                <w:szCs w:val="18"/>
              </w:rPr>
            </w:pPr>
          </w:p>
        </w:tc>
        <w:tc>
          <w:tcPr>
            <w:tcW w:w="380" w:type="dxa"/>
            <w:vAlign w:val="center"/>
          </w:tcPr>
          <w:p>
            <w:pPr>
              <w:snapToGrid w:val="0"/>
              <w:ind w:left="-5" w:firstLine="4" w:firstLineChars="2"/>
              <w:jc w:val="center"/>
              <w:rPr>
                <w:rFonts w:hint="eastAsia"/>
                <w:b/>
                <w:bCs/>
                <w:sz w:val="18"/>
                <w:szCs w:val="18"/>
              </w:rPr>
            </w:pPr>
          </w:p>
        </w:tc>
        <w:tc>
          <w:tcPr>
            <w:tcW w:w="380" w:type="dxa"/>
            <w:vAlign w:val="center"/>
          </w:tcPr>
          <w:p>
            <w:pPr>
              <w:snapToGrid w:val="0"/>
              <w:ind w:left="-5" w:firstLine="4" w:firstLineChars="2"/>
              <w:jc w:val="center"/>
              <w:rPr>
                <w:rFonts w:hint="eastAsia"/>
                <w:b/>
                <w:bCs/>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restart"/>
            <w:vAlign w:val="center"/>
          </w:tcPr>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r>
              <w:rPr>
                <w:rFonts w:hint="eastAsia"/>
                <w:b/>
                <w:sz w:val="18"/>
                <w:szCs w:val="18"/>
              </w:rPr>
              <w:t>专</w:t>
            </w:r>
          </w:p>
          <w:p>
            <w:pPr>
              <w:snapToGrid w:val="0"/>
              <w:ind w:left="-5" w:firstLine="4" w:firstLineChars="2"/>
              <w:jc w:val="center"/>
              <w:rPr>
                <w:rFonts w:hint="eastAsia"/>
                <w:b/>
                <w:sz w:val="18"/>
                <w:szCs w:val="18"/>
              </w:rPr>
            </w:pPr>
            <w:r>
              <w:rPr>
                <w:rFonts w:hint="eastAsia"/>
                <w:b/>
                <w:sz w:val="18"/>
                <w:szCs w:val="18"/>
              </w:rPr>
              <w:t>业</w:t>
            </w:r>
          </w:p>
          <w:p>
            <w:pPr>
              <w:snapToGrid w:val="0"/>
              <w:ind w:left="-5" w:firstLine="4" w:firstLineChars="2"/>
              <w:jc w:val="center"/>
              <w:rPr>
                <w:rFonts w:hint="eastAsia"/>
                <w:b/>
                <w:sz w:val="18"/>
                <w:szCs w:val="18"/>
              </w:rPr>
            </w:pPr>
            <w:r>
              <w:rPr>
                <w:rFonts w:hint="eastAsia"/>
                <w:b/>
                <w:sz w:val="18"/>
                <w:szCs w:val="18"/>
              </w:rPr>
              <w:t>课</w:t>
            </w:r>
          </w:p>
          <w:p>
            <w:pPr>
              <w:snapToGrid w:val="0"/>
              <w:ind w:left="-5" w:firstLine="4" w:firstLineChars="2"/>
              <w:jc w:val="center"/>
              <w:rPr>
                <w:rFonts w:hint="eastAsia"/>
                <w:b/>
                <w:sz w:val="18"/>
                <w:szCs w:val="18"/>
              </w:rPr>
            </w:pPr>
          </w:p>
        </w:tc>
        <w:tc>
          <w:tcPr>
            <w:tcW w:w="302" w:type="dxa"/>
            <w:vMerge w:val="restart"/>
            <w:tcBorders>
              <w:right w:val="single" w:color="auto" w:sz="6" w:space="0"/>
            </w:tcBorders>
            <w:vAlign w:val="center"/>
          </w:tcPr>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r>
              <w:rPr>
                <w:rFonts w:hint="eastAsia"/>
                <w:b/>
                <w:sz w:val="18"/>
                <w:szCs w:val="18"/>
              </w:rPr>
              <w:t>专业必修</w:t>
            </w:r>
          </w:p>
          <w:p>
            <w:pPr>
              <w:snapToGrid w:val="0"/>
              <w:ind w:left="-5" w:firstLine="4" w:firstLineChars="2"/>
              <w:jc w:val="center"/>
              <w:rPr>
                <w:rFonts w:hint="eastAsia"/>
                <w:b/>
                <w:sz w:val="18"/>
                <w:szCs w:val="18"/>
              </w:rPr>
            </w:pPr>
            <w:r>
              <w:rPr>
                <w:rFonts w:hint="eastAsia"/>
                <w:b/>
                <w:sz w:val="18"/>
                <w:szCs w:val="18"/>
              </w:rPr>
              <w:t>课</w:t>
            </w:r>
          </w:p>
        </w:tc>
        <w:tc>
          <w:tcPr>
            <w:tcW w:w="450" w:type="dxa"/>
            <w:vMerge w:val="restart"/>
            <w:tcBorders>
              <w:right w:val="single" w:color="auto" w:sz="6" w:space="0"/>
            </w:tcBorders>
            <w:vAlign w:val="center"/>
          </w:tcPr>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r>
              <w:rPr>
                <w:rFonts w:hint="eastAsia"/>
                <w:b/>
                <w:sz w:val="18"/>
                <w:szCs w:val="18"/>
              </w:rPr>
              <w:t>专业基础课</w:t>
            </w:r>
          </w:p>
          <w:p>
            <w:pPr>
              <w:snapToGrid w:val="0"/>
              <w:ind w:left="-5" w:firstLine="4" w:firstLineChars="2"/>
              <w:jc w:val="center"/>
              <w:rPr>
                <w:rFonts w:hint="eastAsia"/>
                <w:b/>
                <w:sz w:val="18"/>
                <w:szCs w:val="18"/>
              </w:rPr>
            </w:pPr>
          </w:p>
        </w:tc>
        <w:tc>
          <w:tcPr>
            <w:tcW w:w="994" w:type="dxa"/>
            <w:tcBorders>
              <w:left w:val="single" w:color="auto" w:sz="6" w:space="0"/>
            </w:tcBorders>
            <w:vAlign w:val="center"/>
          </w:tcPr>
          <w:p>
            <w:pPr>
              <w:snapToGrid w:val="0"/>
              <w:ind w:left="-5" w:firstLine="3" w:firstLineChars="2"/>
              <w:rPr>
                <w:rFonts w:hint="eastAsia"/>
                <w:sz w:val="18"/>
                <w:szCs w:val="18"/>
              </w:rPr>
            </w:pPr>
            <w:r>
              <w:rPr>
                <w:sz w:val="18"/>
                <w:szCs w:val="18"/>
              </w:rPr>
              <w:t>C072162</w:t>
            </w:r>
          </w:p>
        </w:tc>
        <w:tc>
          <w:tcPr>
            <w:tcW w:w="2219" w:type="dxa"/>
            <w:tcBorders>
              <w:left w:val="single" w:color="auto" w:sz="6" w:space="0"/>
            </w:tcBorders>
            <w:vAlign w:val="center"/>
          </w:tcPr>
          <w:p>
            <w:pPr>
              <w:snapToGrid w:val="0"/>
              <w:ind w:left="-5" w:firstLine="3" w:firstLineChars="2"/>
              <w:rPr>
                <w:rFonts w:hint="eastAsia"/>
                <w:sz w:val="18"/>
                <w:szCs w:val="18"/>
              </w:rPr>
            </w:pPr>
            <w:r>
              <w:rPr>
                <w:rFonts w:hint="eastAsia"/>
                <w:sz w:val="18"/>
                <w:szCs w:val="18"/>
              </w:rPr>
              <w:t>物流管理基础</w:t>
            </w:r>
          </w:p>
        </w:tc>
        <w:tc>
          <w:tcPr>
            <w:tcW w:w="504" w:type="dxa"/>
            <w:vAlign w:val="center"/>
          </w:tcPr>
          <w:p>
            <w:pPr>
              <w:snapToGrid w:val="0"/>
              <w:ind w:left="-5" w:firstLine="3" w:firstLineChars="2"/>
              <w:jc w:val="center"/>
              <w:rPr>
                <w:rFonts w:hint="eastAsia"/>
                <w:sz w:val="18"/>
                <w:szCs w:val="18"/>
              </w:rPr>
            </w:pPr>
            <w:r>
              <w:rPr>
                <w:rFonts w:hint="eastAsia"/>
                <w:sz w:val="18"/>
                <w:szCs w:val="18"/>
              </w:rPr>
              <w:t>4</w:t>
            </w:r>
            <w:r>
              <w:rPr>
                <w:sz w:val="18"/>
                <w:szCs w:val="18"/>
              </w:rPr>
              <w:t>8</w:t>
            </w:r>
          </w:p>
        </w:tc>
        <w:tc>
          <w:tcPr>
            <w:tcW w:w="494"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36</w:t>
            </w:r>
          </w:p>
        </w:tc>
        <w:tc>
          <w:tcPr>
            <w:tcW w:w="459"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12</w:t>
            </w:r>
          </w:p>
        </w:tc>
        <w:tc>
          <w:tcPr>
            <w:tcW w:w="527" w:type="dxa"/>
            <w:vAlign w:val="center"/>
          </w:tcPr>
          <w:p>
            <w:pPr>
              <w:snapToGrid w:val="0"/>
              <w:ind w:left="-5" w:firstLine="3" w:firstLineChars="2"/>
              <w:jc w:val="center"/>
              <w:rPr>
                <w:rFonts w:hint="eastAsia"/>
                <w:sz w:val="18"/>
                <w:szCs w:val="18"/>
              </w:rPr>
            </w:pPr>
            <w:r>
              <w:rPr>
                <w:rFonts w:hint="eastAsia"/>
                <w:sz w:val="18"/>
                <w:szCs w:val="18"/>
              </w:rPr>
              <w:t>3</w:t>
            </w:r>
          </w:p>
        </w:tc>
        <w:tc>
          <w:tcPr>
            <w:tcW w:w="422" w:type="dxa"/>
            <w:vAlign w:val="center"/>
          </w:tcPr>
          <w:p>
            <w:pPr>
              <w:snapToGrid w:val="0"/>
              <w:ind w:left="-5" w:firstLine="3" w:firstLineChars="2"/>
              <w:jc w:val="center"/>
              <w:rPr>
                <w:sz w:val="18"/>
                <w:szCs w:val="18"/>
              </w:rPr>
            </w:pPr>
            <w:r>
              <w:rPr>
                <w:rFonts w:hint="eastAsia"/>
                <w:sz w:val="18"/>
                <w:szCs w:val="18"/>
              </w:rPr>
              <w:t>3</w:t>
            </w: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994" w:type="dxa"/>
            <w:tcBorders>
              <w:left w:val="single" w:color="auto" w:sz="6" w:space="0"/>
            </w:tcBorders>
            <w:vAlign w:val="center"/>
          </w:tcPr>
          <w:p>
            <w:pPr>
              <w:snapToGrid w:val="0"/>
              <w:ind w:left="-5" w:firstLine="3" w:firstLineChars="2"/>
              <w:rPr>
                <w:rFonts w:hint="eastAsia"/>
                <w:sz w:val="18"/>
                <w:szCs w:val="18"/>
              </w:rPr>
            </w:pPr>
            <w:r>
              <w:rPr>
                <w:sz w:val="18"/>
                <w:szCs w:val="18"/>
              </w:rPr>
              <w:t>C072201</w:t>
            </w:r>
          </w:p>
        </w:tc>
        <w:tc>
          <w:tcPr>
            <w:tcW w:w="2219" w:type="dxa"/>
            <w:tcBorders>
              <w:left w:val="single" w:color="auto" w:sz="6" w:space="0"/>
            </w:tcBorders>
            <w:vAlign w:val="center"/>
          </w:tcPr>
          <w:p>
            <w:pPr>
              <w:snapToGrid w:val="0"/>
              <w:ind w:left="-5" w:firstLine="3" w:firstLineChars="2"/>
              <w:rPr>
                <w:rFonts w:hint="eastAsia"/>
                <w:sz w:val="18"/>
                <w:szCs w:val="18"/>
              </w:rPr>
            </w:pPr>
            <w:r>
              <w:rPr>
                <w:rFonts w:hint="eastAsia"/>
                <w:sz w:val="18"/>
                <w:szCs w:val="18"/>
              </w:rPr>
              <w:t>货物学基础</w:t>
            </w:r>
          </w:p>
        </w:tc>
        <w:tc>
          <w:tcPr>
            <w:tcW w:w="504" w:type="dxa"/>
            <w:vAlign w:val="center"/>
          </w:tcPr>
          <w:p>
            <w:pPr>
              <w:snapToGrid w:val="0"/>
              <w:ind w:left="-5" w:firstLine="3" w:firstLineChars="2"/>
              <w:jc w:val="center"/>
              <w:rPr>
                <w:rFonts w:hint="eastAsia"/>
                <w:sz w:val="18"/>
                <w:szCs w:val="18"/>
              </w:rPr>
            </w:pPr>
            <w:r>
              <w:rPr>
                <w:rFonts w:hint="eastAsia"/>
                <w:sz w:val="18"/>
                <w:szCs w:val="18"/>
              </w:rPr>
              <w:t>4</w:t>
            </w:r>
            <w:r>
              <w:rPr>
                <w:sz w:val="18"/>
                <w:szCs w:val="18"/>
              </w:rPr>
              <w:t>8</w:t>
            </w:r>
          </w:p>
        </w:tc>
        <w:tc>
          <w:tcPr>
            <w:tcW w:w="494"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36</w:t>
            </w:r>
          </w:p>
        </w:tc>
        <w:tc>
          <w:tcPr>
            <w:tcW w:w="459"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12</w:t>
            </w:r>
          </w:p>
        </w:tc>
        <w:tc>
          <w:tcPr>
            <w:tcW w:w="527" w:type="dxa"/>
            <w:vAlign w:val="center"/>
          </w:tcPr>
          <w:p>
            <w:pPr>
              <w:snapToGrid w:val="0"/>
              <w:ind w:left="-5" w:firstLine="3" w:firstLineChars="2"/>
              <w:jc w:val="center"/>
              <w:rPr>
                <w:rFonts w:hint="eastAsia"/>
                <w:sz w:val="18"/>
                <w:szCs w:val="18"/>
              </w:rPr>
            </w:pPr>
            <w:r>
              <w:rPr>
                <w:rFonts w:hint="eastAsia"/>
                <w:sz w:val="18"/>
                <w:szCs w:val="18"/>
              </w:rPr>
              <w:t>3</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sz w:val="18"/>
                <w:szCs w:val="18"/>
              </w:rPr>
            </w:pPr>
            <w:r>
              <w:rPr>
                <w:rFonts w:hint="eastAsia"/>
                <w:sz w:val="18"/>
                <w:szCs w:val="18"/>
              </w:rPr>
              <w:t>3</w:t>
            </w:r>
          </w:p>
        </w:tc>
        <w:tc>
          <w:tcPr>
            <w:tcW w:w="380"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994" w:type="dxa"/>
            <w:tcBorders>
              <w:left w:val="single" w:color="auto" w:sz="6" w:space="0"/>
            </w:tcBorders>
            <w:vAlign w:val="center"/>
          </w:tcPr>
          <w:p>
            <w:pPr>
              <w:snapToGrid w:val="0"/>
              <w:ind w:left="-5" w:firstLine="3" w:firstLineChars="2"/>
              <w:rPr>
                <w:rFonts w:hint="eastAsia"/>
                <w:sz w:val="18"/>
                <w:szCs w:val="18"/>
              </w:rPr>
            </w:pPr>
            <w:r>
              <w:rPr>
                <w:sz w:val="18"/>
                <w:szCs w:val="18"/>
              </w:rPr>
              <w:t>C072256</w:t>
            </w:r>
          </w:p>
        </w:tc>
        <w:tc>
          <w:tcPr>
            <w:tcW w:w="2219" w:type="dxa"/>
            <w:tcBorders>
              <w:left w:val="single" w:color="auto" w:sz="6" w:space="0"/>
            </w:tcBorders>
            <w:vAlign w:val="center"/>
          </w:tcPr>
          <w:p>
            <w:pPr>
              <w:snapToGrid w:val="0"/>
              <w:ind w:left="-5" w:firstLine="3" w:firstLineChars="2"/>
              <w:rPr>
                <w:rFonts w:hint="eastAsia"/>
                <w:sz w:val="18"/>
                <w:szCs w:val="18"/>
              </w:rPr>
            </w:pPr>
            <w:r>
              <w:rPr>
                <w:rFonts w:hint="eastAsia"/>
                <w:sz w:val="18"/>
                <w:szCs w:val="18"/>
              </w:rPr>
              <w:t>管理学基础</w:t>
            </w:r>
          </w:p>
        </w:tc>
        <w:tc>
          <w:tcPr>
            <w:tcW w:w="504" w:type="dxa"/>
            <w:vAlign w:val="center"/>
          </w:tcPr>
          <w:p>
            <w:pPr>
              <w:snapToGrid w:val="0"/>
              <w:ind w:left="-5" w:firstLine="3" w:firstLineChars="2"/>
              <w:jc w:val="center"/>
              <w:rPr>
                <w:rFonts w:hint="eastAsia"/>
                <w:sz w:val="18"/>
                <w:szCs w:val="18"/>
              </w:rPr>
            </w:pPr>
            <w:r>
              <w:rPr>
                <w:rFonts w:hint="eastAsia"/>
                <w:sz w:val="18"/>
                <w:szCs w:val="18"/>
              </w:rPr>
              <w:t>48</w:t>
            </w:r>
          </w:p>
        </w:tc>
        <w:tc>
          <w:tcPr>
            <w:tcW w:w="494"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36</w:t>
            </w:r>
          </w:p>
        </w:tc>
        <w:tc>
          <w:tcPr>
            <w:tcW w:w="459"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12</w:t>
            </w:r>
          </w:p>
        </w:tc>
        <w:tc>
          <w:tcPr>
            <w:tcW w:w="527" w:type="dxa"/>
            <w:vAlign w:val="center"/>
          </w:tcPr>
          <w:p>
            <w:pPr>
              <w:snapToGrid w:val="0"/>
              <w:ind w:left="-5" w:firstLine="3" w:firstLineChars="2"/>
              <w:jc w:val="center"/>
              <w:rPr>
                <w:rFonts w:hint="eastAsia"/>
                <w:sz w:val="18"/>
                <w:szCs w:val="18"/>
              </w:rPr>
            </w:pPr>
            <w:r>
              <w:rPr>
                <w:rFonts w:hint="eastAsia"/>
                <w:sz w:val="18"/>
                <w:szCs w:val="18"/>
              </w:rPr>
              <w:t>3</w:t>
            </w:r>
          </w:p>
        </w:tc>
        <w:tc>
          <w:tcPr>
            <w:tcW w:w="422" w:type="dxa"/>
            <w:vAlign w:val="center"/>
          </w:tcPr>
          <w:p>
            <w:pPr>
              <w:snapToGrid w:val="0"/>
              <w:ind w:left="-5" w:firstLine="3" w:firstLineChars="2"/>
              <w:jc w:val="center"/>
              <w:rPr>
                <w:sz w:val="18"/>
                <w:szCs w:val="18"/>
              </w:rPr>
            </w:pPr>
            <w:r>
              <w:rPr>
                <w:rFonts w:hint="eastAsia"/>
                <w:sz w:val="18"/>
                <w:szCs w:val="18"/>
              </w:rPr>
              <w:t>3</w:t>
            </w: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994" w:type="dxa"/>
            <w:tcBorders>
              <w:left w:val="single" w:color="auto" w:sz="6" w:space="0"/>
            </w:tcBorders>
            <w:vAlign w:val="center"/>
          </w:tcPr>
          <w:p>
            <w:pPr>
              <w:snapToGrid w:val="0"/>
              <w:ind w:left="-5" w:firstLine="3" w:firstLineChars="2"/>
              <w:rPr>
                <w:rFonts w:hint="eastAsia"/>
                <w:sz w:val="18"/>
                <w:szCs w:val="18"/>
              </w:rPr>
            </w:pPr>
            <w:r>
              <w:rPr>
                <w:sz w:val="18"/>
                <w:szCs w:val="18"/>
              </w:rPr>
              <w:t>C072080</w:t>
            </w:r>
          </w:p>
        </w:tc>
        <w:tc>
          <w:tcPr>
            <w:tcW w:w="2219" w:type="dxa"/>
            <w:tcBorders>
              <w:left w:val="single" w:color="auto" w:sz="6" w:space="0"/>
            </w:tcBorders>
            <w:vAlign w:val="center"/>
          </w:tcPr>
          <w:p>
            <w:pPr>
              <w:snapToGrid w:val="0"/>
              <w:ind w:left="-5" w:firstLine="3" w:firstLineChars="2"/>
              <w:rPr>
                <w:rFonts w:hint="eastAsia"/>
                <w:sz w:val="18"/>
                <w:szCs w:val="18"/>
              </w:rPr>
            </w:pPr>
            <w:r>
              <w:rPr>
                <w:rFonts w:hint="eastAsia"/>
                <w:sz w:val="18"/>
                <w:szCs w:val="18"/>
              </w:rPr>
              <w:t>经济学基础</w:t>
            </w:r>
          </w:p>
        </w:tc>
        <w:tc>
          <w:tcPr>
            <w:tcW w:w="504" w:type="dxa"/>
            <w:vAlign w:val="center"/>
          </w:tcPr>
          <w:p>
            <w:pPr>
              <w:snapToGrid w:val="0"/>
              <w:ind w:left="-5" w:firstLine="3" w:firstLineChars="2"/>
              <w:jc w:val="center"/>
              <w:rPr>
                <w:rFonts w:hint="eastAsia"/>
                <w:sz w:val="18"/>
                <w:szCs w:val="18"/>
              </w:rPr>
            </w:pPr>
            <w:r>
              <w:rPr>
                <w:rFonts w:hint="eastAsia"/>
                <w:sz w:val="18"/>
                <w:szCs w:val="18"/>
              </w:rPr>
              <w:t>4</w:t>
            </w:r>
            <w:r>
              <w:rPr>
                <w:sz w:val="18"/>
                <w:szCs w:val="18"/>
              </w:rPr>
              <w:t>8</w:t>
            </w:r>
          </w:p>
        </w:tc>
        <w:tc>
          <w:tcPr>
            <w:tcW w:w="494"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36</w:t>
            </w:r>
          </w:p>
        </w:tc>
        <w:tc>
          <w:tcPr>
            <w:tcW w:w="459"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12</w:t>
            </w:r>
          </w:p>
        </w:tc>
        <w:tc>
          <w:tcPr>
            <w:tcW w:w="527" w:type="dxa"/>
            <w:vAlign w:val="center"/>
          </w:tcPr>
          <w:p>
            <w:pPr>
              <w:snapToGrid w:val="0"/>
              <w:ind w:left="-5" w:firstLine="3" w:firstLineChars="2"/>
              <w:jc w:val="center"/>
              <w:rPr>
                <w:rFonts w:hint="eastAsia"/>
                <w:sz w:val="18"/>
                <w:szCs w:val="18"/>
              </w:rPr>
            </w:pPr>
            <w:r>
              <w:rPr>
                <w:rFonts w:hint="eastAsia"/>
                <w:sz w:val="18"/>
                <w:szCs w:val="18"/>
              </w:rPr>
              <w:t>3</w:t>
            </w:r>
          </w:p>
        </w:tc>
        <w:tc>
          <w:tcPr>
            <w:tcW w:w="422"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r>
              <w:rPr>
                <w:rFonts w:hint="eastAsia"/>
                <w:sz w:val="18"/>
                <w:szCs w:val="18"/>
              </w:rPr>
              <w:t>3</w:t>
            </w: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994" w:type="dxa"/>
            <w:tcBorders>
              <w:left w:val="single" w:color="auto" w:sz="6" w:space="0"/>
            </w:tcBorders>
            <w:vAlign w:val="center"/>
          </w:tcPr>
          <w:p>
            <w:pPr>
              <w:snapToGrid w:val="0"/>
              <w:ind w:left="-5" w:firstLine="3" w:firstLineChars="2"/>
              <w:rPr>
                <w:rFonts w:hint="eastAsia"/>
                <w:sz w:val="18"/>
                <w:szCs w:val="18"/>
              </w:rPr>
            </w:pPr>
            <w:r>
              <w:rPr>
                <w:rFonts w:hint="eastAsia"/>
                <w:sz w:val="18"/>
                <w:szCs w:val="18"/>
              </w:rPr>
              <w:t>C</w:t>
            </w:r>
            <w:r>
              <w:rPr>
                <w:sz w:val="18"/>
                <w:szCs w:val="18"/>
              </w:rPr>
              <w:t>072074</w:t>
            </w:r>
          </w:p>
        </w:tc>
        <w:tc>
          <w:tcPr>
            <w:tcW w:w="2219" w:type="dxa"/>
            <w:tcBorders>
              <w:left w:val="single" w:color="auto" w:sz="6" w:space="0"/>
            </w:tcBorders>
            <w:vAlign w:val="center"/>
          </w:tcPr>
          <w:p>
            <w:pPr>
              <w:snapToGrid w:val="0"/>
              <w:ind w:left="-5" w:firstLine="3" w:firstLineChars="2"/>
              <w:rPr>
                <w:rFonts w:hint="eastAsia" w:eastAsia="宋体"/>
                <w:sz w:val="18"/>
                <w:szCs w:val="18"/>
                <w:lang w:eastAsia="zh-CN"/>
              </w:rPr>
            </w:pPr>
            <w:r>
              <w:rPr>
                <w:rFonts w:hint="eastAsia"/>
                <w:sz w:val="18"/>
                <w:szCs w:val="18"/>
                <w:lang w:eastAsia="zh-CN"/>
              </w:rPr>
              <w:t>基础会计</w:t>
            </w:r>
          </w:p>
        </w:tc>
        <w:tc>
          <w:tcPr>
            <w:tcW w:w="504"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64</w:t>
            </w:r>
          </w:p>
        </w:tc>
        <w:tc>
          <w:tcPr>
            <w:tcW w:w="494"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40</w:t>
            </w:r>
          </w:p>
        </w:tc>
        <w:tc>
          <w:tcPr>
            <w:tcW w:w="459"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24</w:t>
            </w:r>
          </w:p>
        </w:tc>
        <w:tc>
          <w:tcPr>
            <w:tcW w:w="527" w:type="dxa"/>
            <w:vAlign w:val="center"/>
          </w:tcPr>
          <w:p>
            <w:pPr>
              <w:snapToGrid w:val="0"/>
              <w:ind w:left="-5" w:firstLine="3" w:firstLineChars="2"/>
              <w:jc w:val="center"/>
              <w:rPr>
                <w:rFonts w:hint="eastAsia" w:eastAsia="宋体"/>
                <w:sz w:val="18"/>
                <w:szCs w:val="18"/>
                <w:lang w:eastAsia="zh-CN"/>
              </w:rPr>
            </w:pPr>
            <w:r>
              <w:rPr>
                <w:rFonts w:hint="eastAsia"/>
                <w:sz w:val="18"/>
                <w:szCs w:val="18"/>
                <w:lang w:val="en-US" w:eastAsia="zh-CN"/>
              </w:rPr>
              <w:t>4</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eastAsia="宋体"/>
                <w:sz w:val="18"/>
                <w:szCs w:val="18"/>
                <w:lang w:eastAsia="zh-CN"/>
              </w:rPr>
            </w:pPr>
            <w:r>
              <w:rPr>
                <w:rFonts w:hint="eastAsia"/>
                <w:sz w:val="18"/>
                <w:szCs w:val="18"/>
                <w:lang w:val="en-US" w:eastAsia="zh-CN"/>
              </w:rPr>
              <w:t>4</w:t>
            </w: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3213" w:type="dxa"/>
            <w:gridSpan w:val="2"/>
            <w:tcBorders>
              <w:left w:val="single" w:color="auto" w:sz="6" w:space="0"/>
            </w:tcBorders>
            <w:vAlign w:val="center"/>
          </w:tcPr>
          <w:p>
            <w:pPr>
              <w:snapToGrid w:val="0"/>
              <w:ind w:left="-5" w:firstLine="4" w:firstLineChars="2"/>
              <w:jc w:val="center"/>
              <w:rPr>
                <w:rFonts w:hint="eastAsia"/>
                <w:b/>
                <w:bCs/>
                <w:sz w:val="18"/>
                <w:szCs w:val="18"/>
              </w:rPr>
            </w:pPr>
            <w:r>
              <w:rPr>
                <w:rFonts w:hint="eastAsia"/>
                <w:b/>
                <w:bCs/>
                <w:sz w:val="18"/>
                <w:szCs w:val="18"/>
              </w:rPr>
              <w:t>小计</w:t>
            </w:r>
          </w:p>
        </w:tc>
        <w:tc>
          <w:tcPr>
            <w:tcW w:w="504" w:type="dxa"/>
            <w:tcBorders>
              <w:top w:val="nil"/>
              <w:left w:val="nil"/>
              <w:bottom w:val="nil"/>
              <w:right w:val="nil"/>
            </w:tcBorders>
            <w:vAlign w:val="bottom"/>
          </w:tcPr>
          <w:p>
            <w:pPr>
              <w:widowControl/>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rPr>
              <w:t>2</w:t>
            </w:r>
            <w:r>
              <w:rPr>
                <w:rFonts w:hint="eastAsia" w:ascii="等线" w:hAnsi="等线" w:eastAsia="等线"/>
                <w:b/>
                <w:color w:val="000000"/>
                <w:sz w:val="18"/>
                <w:szCs w:val="18"/>
                <w:lang w:val="en-US" w:eastAsia="zh-CN"/>
              </w:rPr>
              <w:t>56</w:t>
            </w:r>
          </w:p>
        </w:tc>
        <w:tc>
          <w:tcPr>
            <w:tcW w:w="494" w:type="dxa"/>
            <w:tcBorders>
              <w:top w:val="nil"/>
              <w:left w:val="nil"/>
              <w:bottom w:val="nil"/>
              <w:right w:val="nil"/>
            </w:tcBorders>
            <w:vAlign w:val="bottom"/>
          </w:tcPr>
          <w:p>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184</w:t>
            </w:r>
          </w:p>
        </w:tc>
        <w:tc>
          <w:tcPr>
            <w:tcW w:w="459" w:type="dxa"/>
            <w:tcBorders>
              <w:top w:val="nil"/>
              <w:left w:val="nil"/>
              <w:bottom w:val="nil"/>
              <w:right w:val="nil"/>
            </w:tcBorders>
            <w:vAlign w:val="bottom"/>
          </w:tcPr>
          <w:p>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72</w:t>
            </w:r>
          </w:p>
        </w:tc>
        <w:tc>
          <w:tcPr>
            <w:tcW w:w="527" w:type="dxa"/>
            <w:tcBorders>
              <w:top w:val="nil"/>
              <w:left w:val="nil"/>
              <w:bottom w:val="nil"/>
              <w:right w:val="nil"/>
            </w:tcBorders>
            <w:vAlign w:val="bottom"/>
          </w:tcPr>
          <w:p>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rPr>
              <w:t>1</w:t>
            </w:r>
            <w:r>
              <w:rPr>
                <w:rFonts w:hint="eastAsia" w:ascii="等线" w:hAnsi="等线" w:eastAsia="等线"/>
                <w:b/>
                <w:color w:val="000000"/>
                <w:sz w:val="18"/>
                <w:szCs w:val="18"/>
                <w:lang w:val="en-US" w:eastAsia="zh-CN"/>
              </w:rPr>
              <w:t>6</w:t>
            </w:r>
          </w:p>
        </w:tc>
        <w:tc>
          <w:tcPr>
            <w:tcW w:w="422" w:type="dxa"/>
            <w:tcBorders>
              <w:top w:val="nil"/>
              <w:left w:val="nil"/>
              <w:bottom w:val="nil"/>
              <w:right w:val="nil"/>
            </w:tcBorders>
            <w:vAlign w:val="bottom"/>
          </w:tcPr>
          <w:p>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lang w:val="en-US" w:eastAsia="zh-CN"/>
              </w:rPr>
              <w:t>6</w:t>
            </w:r>
          </w:p>
        </w:tc>
        <w:tc>
          <w:tcPr>
            <w:tcW w:w="380" w:type="dxa"/>
            <w:tcBorders>
              <w:top w:val="nil"/>
              <w:left w:val="nil"/>
              <w:bottom w:val="nil"/>
              <w:right w:val="nil"/>
            </w:tcBorders>
            <w:vAlign w:val="bottom"/>
          </w:tcPr>
          <w:p>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lang w:val="en-US" w:eastAsia="zh-CN"/>
              </w:rPr>
              <w:t>7</w:t>
            </w:r>
          </w:p>
        </w:tc>
        <w:tc>
          <w:tcPr>
            <w:tcW w:w="402" w:type="dxa"/>
            <w:tcBorders>
              <w:top w:val="nil"/>
              <w:left w:val="nil"/>
              <w:bottom w:val="nil"/>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3</w:t>
            </w: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restart"/>
            <w:tcBorders>
              <w:left w:val="single" w:color="auto" w:sz="6" w:space="0"/>
              <w:right w:val="single" w:color="auto" w:sz="6" w:space="0"/>
            </w:tcBorders>
            <w:vAlign w:val="center"/>
          </w:tcPr>
          <w:p>
            <w:pPr>
              <w:snapToGrid w:val="0"/>
              <w:ind w:left="-5" w:firstLine="4" w:firstLineChars="2"/>
              <w:jc w:val="center"/>
              <w:rPr>
                <w:rFonts w:hint="eastAsia"/>
                <w:b/>
                <w:sz w:val="18"/>
                <w:szCs w:val="18"/>
              </w:rPr>
            </w:pPr>
            <w:r>
              <w:rPr>
                <w:rFonts w:hint="eastAsia"/>
                <w:b/>
                <w:sz w:val="18"/>
                <w:szCs w:val="18"/>
              </w:rPr>
              <w:t>专业</w:t>
            </w:r>
          </w:p>
          <w:p>
            <w:pPr>
              <w:snapToGrid w:val="0"/>
              <w:ind w:left="-5" w:firstLine="4" w:firstLineChars="2"/>
              <w:jc w:val="center"/>
              <w:rPr>
                <w:rFonts w:hint="eastAsia"/>
                <w:b/>
                <w:sz w:val="18"/>
                <w:szCs w:val="18"/>
              </w:rPr>
            </w:pPr>
            <w:r>
              <w:rPr>
                <w:rFonts w:hint="eastAsia"/>
                <w:b/>
                <w:sz w:val="18"/>
                <w:szCs w:val="18"/>
              </w:rPr>
              <w:t>核心课</w:t>
            </w:r>
          </w:p>
          <w:p>
            <w:pPr>
              <w:snapToGrid w:val="0"/>
              <w:ind w:left="-5" w:firstLine="4" w:firstLineChars="2"/>
              <w:jc w:val="center"/>
              <w:rPr>
                <w:rFonts w:hint="eastAsia"/>
                <w:b/>
                <w:sz w:val="18"/>
                <w:szCs w:val="18"/>
              </w:rPr>
            </w:pPr>
          </w:p>
        </w:tc>
        <w:tc>
          <w:tcPr>
            <w:tcW w:w="994" w:type="dxa"/>
            <w:tcBorders>
              <w:left w:val="single" w:color="auto" w:sz="6" w:space="0"/>
            </w:tcBorders>
            <w:vAlign w:val="center"/>
          </w:tcPr>
          <w:p>
            <w:pPr>
              <w:snapToGrid w:val="0"/>
              <w:ind w:left="-5" w:firstLine="3" w:firstLineChars="2"/>
              <w:rPr>
                <w:rFonts w:hint="eastAsia"/>
                <w:sz w:val="18"/>
                <w:szCs w:val="18"/>
              </w:rPr>
            </w:pPr>
            <w:r>
              <w:rPr>
                <w:sz w:val="18"/>
                <w:szCs w:val="18"/>
              </w:rPr>
              <w:t>C072263</w:t>
            </w:r>
          </w:p>
        </w:tc>
        <w:tc>
          <w:tcPr>
            <w:tcW w:w="2219" w:type="dxa"/>
            <w:vAlign w:val="center"/>
          </w:tcPr>
          <w:p>
            <w:pPr>
              <w:snapToGrid w:val="0"/>
              <w:ind w:left="-5" w:firstLine="3" w:firstLineChars="2"/>
              <w:rPr>
                <w:rFonts w:hint="eastAsia"/>
                <w:sz w:val="18"/>
                <w:szCs w:val="18"/>
              </w:rPr>
            </w:pPr>
            <w:r>
              <w:rPr>
                <w:rFonts w:hint="eastAsia"/>
                <w:sz w:val="18"/>
                <w:szCs w:val="18"/>
              </w:rPr>
              <w:t>仓储与配送管理</w:t>
            </w:r>
          </w:p>
        </w:tc>
        <w:tc>
          <w:tcPr>
            <w:tcW w:w="504" w:type="dxa"/>
            <w:vAlign w:val="center"/>
          </w:tcPr>
          <w:p>
            <w:pPr>
              <w:snapToGrid w:val="0"/>
              <w:ind w:left="-5" w:firstLine="3" w:firstLineChars="2"/>
              <w:jc w:val="center"/>
              <w:rPr>
                <w:rFonts w:hint="eastAsia"/>
                <w:sz w:val="18"/>
                <w:szCs w:val="18"/>
              </w:rPr>
            </w:pPr>
            <w:r>
              <w:rPr>
                <w:rFonts w:hint="eastAsia"/>
                <w:sz w:val="18"/>
                <w:szCs w:val="18"/>
              </w:rPr>
              <w:t>6</w:t>
            </w:r>
            <w:r>
              <w:rPr>
                <w:sz w:val="18"/>
                <w:szCs w:val="18"/>
              </w:rPr>
              <w:t>4</w:t>
            </w:r>
          </w:p>
        </w:tc>
        <w:tc>
          <w:tcPr>
            <w:tcW w:w="494" w:type="dxa"/>
            <w:vAlign w:val="center"/>
          </w:tcPr>
          <w:p>
            <w:pPr>
              <w:snapToGrid w:val="0"/>
              <w:ind w:left="-5" w:firstLine="3" w:firstLineChars="2"/>
              <w:jc w:val="center"/>
              <w:rPr>
                <w:rFonts w:hint="eastAsia"/>
                <w:sz w:val="18"/>
                <w:szCs w:val="18"/>
              </w:rPr>
            </w:pPr>
            <w:r>
              <w:rPr>
                <w:rFonts w:hint="eastAsia"/>
                <w:sz w:val="18"/>
                <w:szCs w:val="18"/>
              </w:rPr>
              <w:t>4</w:t>
            </w:r>
            <w:r>
              <w:rPr>
                <w:sz w:val="18"/>
                <w:szCs w:val="18"/>
              </w:rPr>
              <w:t>4</w:t>
            </w:r>
          </w:p>
        </w:tc>
        <w:tc>
          <w:tcPr>
            <w:tcW w:w="459"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20</w:t>
            </w:r>
          </w:p>
        </w:tc>
        <w:tc>
          <w:tcPr>
            <w:tcW w:w="527" w:type="dxa"/>
            <w:vAlign w:val="center"/>
          </w:tcPr>
          <w:p>
            <w:pPr>
              <w:snapToGrid w:val="0"/>
              <w:ind w:left="-5" w:firstLine="3" w:firstLineChars="2"/>
              <w:jc w:val="center"/>
              <w:rPr>
                <w:rFonts w:hint="eastAsia"/>
                <w:sz w:val="18"/>
                <w:szCs w:val="18"/>
              </w:rPr>
            </w:pPr>
            <w:r>
              <w:rPr>
                <w:rFonts w:hint="eastAsia"/>
                <w:sz w:val="18"/>
                <w:szCs w:val="18"/>
              </w:rPr>
              <w:t>4</w:t>
            </w:r>
          </w:p>
        </w:tc>
        <w:tc>
          <w:tcPr>
            <w:tcW w:w="422"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402" w:type="dxa"/>
            <w:vAlign w:val="center"/>
          </w:tcPr>
          <w:p>
            <w:pPr>
              <w:snapToGrid w:val="0"/>
              <w:ind w:left="-5" w:firstLine="3" w:firstLineChars="2"/>
              <w:jc w:val="center"/>
              <w:rPr>
                <w:rFonts w:hint="eastAsia"/>
                <w:sz w:val="18"/>
                <w:szCs w:val="18"/>
              </w:rPr>
            </w:pPr>
            <w:r>
              <w:rPr>
                <w:rFonts w:hint="eastAsia"/>
                <w:sz w:val="18"/>
                <w:szCs w:val="18"/>
              </w:rPr>
              <w:t>4</w:t>
            </w: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r>
              <w:rPr>
                <w:rFonts w:hint="eastAsia"/>
                <w:color w:val="000000"/>
                <w:spacing w:val="-4"/>
                <w:sz w:val="18"/>
                <w:szCs w:val="18"/>
              </w:rPr>
              <w:t>★</w:t>
            </w: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994" w:type="dxa"/>
            <w:tcBorders>
              <w:left w:val="single" w:color="auto" w:sz="6" w:space="0"/>
            </w:tcBorders>
            <w:vAlign w:val="center"/>
          </w:tcPr>
          <w:p>
            <w:pPr>
              <w:snapToGrid w:val="0"/>
              <w:ind w:left="-5" w:firstLine="3" w:firstLineChars="2"/>
              <w:rPr>
                <w:rFonts w:hint="eastAsia"/>
                <w:sz w:val="18"/>
                <w:szCs w:val="18"/>
              </w:rPr>
            </w:pPr>
            <w:r>
              <w:rPr>
                <w:sz w:val="18"/>
                <w:szCs w:val="18"/>
              </w:rPr>
              <w:t>C072264</w:t>
            </w:r>
          </w:p>
        </w:tc>
        <w:tc>
          <w:tcPr>
            <w:tcW w:w="2219" w:type="dxa"/>
            <w:vAlign w:val="center"/>
          </w:tcPr>
          <w:p>
            <w:pPr>
              <w:snapToGrid w:val="0"/>
              <w:ind w:left="-5" w:firstLine="3" w:firstLineChars="2"/>
              <w:rPr>
                <w:rFonts w:hint="eastAsia"/>
                <w:sz w:val="18"/>
                <w:szCs w:val="18"/>
              </w:rPr>
            </w:pPr>
            <w:r>
              <w:rPr>
                <w:rFonts w:hint="eastAsia"/>
                <w:sz w:val="18"/>
                <w:szCs w:val="18"/>
              </w:rPr>
              <w:t>运输管理</w:t>
            </w:r>
          </w:p>
        </w:tc>
        <w:tc>
          <w:tcPr>
            <w:tcW w:w="504"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48</w:t>
            </w:r>
          </w:p>
        </w:tc>
        <w:tc>
          <w:tcPr>
            <w:tcW w:w="494" w:type="dxa"/>
            <w:vAlign w:val="center"/>
          </w:tcPr>
          <w:p>
            <w:pPr>
              <w:snapToGrid w:val="0"/>
              <w:ind w:left="-5" w:leftChars="0" w:firstLine="3" w:firstLineChars="2"/>
              <w:jc w:val="center"/>
              <w:rPr>
                <w:rFonts w:hint="default" w:eastAsia="宋体"/>
                <w:sz w:val="18"/>
                <w:szCs w:val="18"/>
                <w:lang w:val="en-US" w:eastAsia="zh-CN"/>
              </w:rPr>
            </w:pPr>
            <w:r>
              <w:rPr>
                <w:rFonts w:hint="eastAsia"/>
                <w:sz w:val="18"/>
                <w:szCs w:val="18"/>
                <w:lang w:val="en-US" w:eastAsia="zh-CN"/>
              </w:rPr>
              <w:t>36</w:t>
            </w:r>
          </w:p>
        </w:tc>
        <w:tc>
          <w:tcPr>
            <w:tcW w:w="459" w:type="dxa"/>
            <w:vAlign w:val="center"/>
          </w:tcPr>
          <w:p>
            <w:pPr>
              <w:snapToGrid w:val="0"/>
              <w:ind w:left="-5" w:leftChars="0" w:firstLine="3" w:firstLineChars="2"/>
              <w:jc w:val="center"/>
              <w:rPr>
                <w:rFonts w:hint="default" w:eastAsia="宋体"/>
                <w:sz w:val="18"/>
                <w:szCs w:val="18"/>
                <w:lang w:val="en-US" w:eastAsia="zh-CN"/>
              </w:rPr>
            </w:pPr>
            <w:r>
              <w:rPr>
                <w:rFonts w:hint="eastAsia"/>
                <w:sz w:val="18"/>
                <w:szCs w:val="18"/>
                <w:lang w:val="en-US" w:eastAsia="zh-CN"/>
              </w:rPr>
              <w:t>12</w:t>
            </w:r>
          </w:p>
        </w:tc>
        <w:tc>
          <w:tcPr>
            <w:tcW w:w="527" w:type="dxa"/>
            <w:vAlign w:val="center"/>
          </w:tcPr>
          <w:p>
            <w:pPr>
              <w:snapToGrid w:val="0"/>
              <w:ind w:left="-5" w:leftChars="0" w:firstLine="3" w:firstLineChars="2"/>
              <w:jc w:val="center"/>
              <w:rPr>
                <w:rFonts w:hint="eastAsia"/>
                <w:sz w:val="18"/>
                <w:szCs w:val="18"/>
              </w:rPr>
            </w:pPr>
            <w:r>
              <w:rPr>
                <w:rFonts w:hint="eastAsia"/>
                <w:sz w:val="18"/>
                <w:szCs w:val="18"/>
              </w:rPr>
              <w:t>3</w:t>
            </w:r>
          </w:p>
        </w:tc>
        <w:tc>
          <w:tcPr>
            <w:tcW w:w="422" w:type="dxa"/>
            <w:vAlign w:val="center"/>
          </w:tcPr>
          <w:p>
            <w:pPr>
              <w:snapToGrid w:val="0"/>
              <w:ind w:left="-5" w:leftChars="0" w:firstLine="3" w:firstLineChars="2"/>
              <w:jc w:val="center"/>
              <w:rPr>
                <w:sz w:val="18"/>
                <w:szCs w:val="18"/>
              </w:rPr>
            </w:pPr>
          </w:p>
        </w:tc>
        <w:tc>
          <w:tcPr>
            <w:tcW w:w="380" w:type="dxa"/>
            <w:vAlign w:val="center"/>
          </w:tcPr>
          <w:p>
            <w:pPr>
              <w:snapToGrid w:val="0"/>
              <w:ind w:left="-5" w:leftChars="0" w:firstLine="3" w:firstLineChars="2"/>
              <w:jc w:val="center"/>
              <w:rPr>
                <w:sz w:val="18"/>
                <w:szCs w:val="18"/>
              </w:rPr>
            </w:pPr>
          </w:p>
        </w:tc>
        <w:tc>
          <w:tcPr>
            <w:tcW w:w="402"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3</w:t>
            </w: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jc w:val="center"/>
              <w:rPr>
                <w:sz w:val="18"/>
                <w:szCs w:val="18"/>
              </w:rPr>
            </w:pPr>
            <w:r>
              <w:rPr>
                <w:rFonts w:hint="eastAsia"/>
                <w:color w:val="000000"/>
                <w:spacing w:val="-4"/>
                <w:sz w:val="18"/>
                <w:szCs w:val="18"/>
              </w:rPr>
              <w:t>★</w:t>
            </w: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994" w:type="dxa"/>
            <w:tcBorders>
              <w:left w:val="single" w:color="auto" w:sz="6" w:space="0"/>
            </w:tcBorders>
            <w:vAlign w:val="center"/>
          </w:tcPr>
          <w:p>
            <w:pPr>
              <w:snapToGrid w:val="0"/>
              <w:rPr>
                <w:rFonts w:hint="eastAsia"/>
                <w:sz w:val="18"/>
                <w:szCs w:val="18"/>
              </w:rPr>
            </w:pPr>
            <w:r>
              <w:rPr>
                <w:bCs/>
                <w:sz w:val="18"/>
                <w:szCs w:val="18"/>
              </w:rPr>
              <w:t>C072063</w:t>
            </w:r>
          </w:p>
        </w:tc>
        <w:tc>
          <w:tcPr>
            <w:tcW w:w="2219" w:type="dxa"/>
            <w:vAlign w:val="center"/>
          </w:tcPr>
          <w:p>
            <w:pPr>
              <w:snapToGrid w:val="0"/>
              <w:rPr>
                <w:rFonts w:hint="eastAsia" w:eastAsia="宋体"/>
                <w:sz w:val="18"/>
                <w:szCs w:val="18"/>
                <w:lang w:eastAsia="zh-CN"/>
              </w:rPr>
            </w:pPr>
            <w:r>
              <w:rPr>
                <w:rFonts w:hint="eastAsia"/>
                <w:bCs/>
                <w:sz w:val="18"/>
                <w:szCs w:val="18"/>
              </w:rPr>
              <w:t>国际物流与货运代理</w:t>
            </w:r>
          </w:p>
        </w:tc>
        <w:tc>
          <w:tcPr>
            <w:tcW w:w="504" w:type="dxa"/>
            <w:vAlign w:val="center"/>
          </w:tcPr>
          <w:p>
            <w:pPr>
              <w:snapToGrid w:val="0"/>
              <w:ind w:left="-5" w:firstLine="3" w:firstLineChars="2"/>
              <w:jc w:val="center"/>
              <w:rPr>
                <w:rFonts w:hint="eastAsia"/>
                <w:sz w:val="18"/>
                <w:szCs w:val="18"/>
              </w:rPr>
            </w:pPr>
            <w:r>
              <w:rPr>
                <w:rFonts w:hint="eastAsia"/>
                <w:sz w:val="18"/>
                <w:szCs w:val="18"/>
              </w:rPr>
              <w:t>4</w:t>
            </w:r>
            <w:r>
              <w:rPr>
                <w:sz w:val="18"/>
                <w:szCs w:val="18"/>
              </w:rPr>
              <w:t>8</w:t>
            </w:r>
          </w:p>
        </w:tc>
        <w:tc>
          <w:tcPr>
            <w:tcW w:w="494"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36</w:t>
            </w:r>
          </w:p>
        </w:tc>
        <w:tc>
          <w:tcPr>
            <w:tcW w:w="459"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12</w:t>
            </w:r>
          </w:p>
        </w:tc>
        <w:tc>
          <w:tcPr>
            <w:tcW w:w="527" w:type="dxa"/>
            <w:vAlign w:val="center"/>
          </w:tcPr>
          <w:p>
            <w:pPr>
              <w:snapToGrid w:val="0"/>
              <w:ind w:left="-5" w:firstLine="3" w:firstLineChars="2"/>
              <w:jc w:val="center"/>
              <w:rPr>
                <w:rFonts w:hint="eastAsia"/>
                <w:sz w:val="18"/>
                <w:szCs w:val="18"/>
              </w:rPr>
            </w:pPr>
            <w:r>
              <w:rPr>
                <w:rFonts w:hint="eastAsia"/>
                <w:sz w:val="18"/>
                <w:szCs w:val="18"/>
              </w:rPr>
              <w:t>3</w:t>
            </w:r>
          </w:p>
        </w:tc>
        <w:tc>
          <w:tcPr>
            <w:tcW w:w="422"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eastAsia="宋体"/>
                <w:sz w:val="18"/>
                <w:szCs w:val="18"/>
                <w:lang w:val="en-US" w:eastAsia="zh-CN"/>
              </w:rPr>
            </w:pPr>
            <w:r>
              <w:rPr>
                <w:rFonts w:hint="eastAsia"/>
                <w:sz w:val="18"/>
                <w:szCs w:val="18"/>
                <w:lang w:val="en-US" w:eastAsia="zh-CN"/>
              </w:rPr>
              <w:t>3</w:t>
            </w: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jc w:val="center"/>
              <w:rPr>
                <w:sz w:val="18"/>
                <w:szCs w:val="18"/>
              </w:rPr>
            </w:pPr>
            <w:r>
              <w:rPr>
                <w:rFonts w:hint="eastAsia"/>
                <w:color w:val="000000"/>
                <w:spacing w:val="-4"/>
                <w:sz w:val="18"/>
                <w:szCs w:val="18"/>
              </w:rPr>
              <w:t>★</w:t>
            </w: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994" w:type="dxa"/>
            <w:tcBorders>
              <w:left w:val="single" w:color="auto" w:sz="6" w:space="0"/>
            </w:tcBorders>
            <w:vAlign w:val="center"/>
          </w:tcPr>
          <w:p>
            <w:pPr>
              <w:snapToGrid w:val="0"/>
              <w:ind w:left="-5" w:firstLine="3" w:firstLineChars="2"/>
              <w:rPr>
                <w:rFonts w:hint="eastAsia"/>
                <w:sz w:val="18"/>
                <w:szCs w:val="18"/>
              </w:rPr>
            </w:pPr>
            <w:r>
              <w:rPr>
                <w:sz w:val="18"/>
                <w:szCs w:val="18"/>
              </w:rPr>
              <w:t>C072267</w:t>
            </w:r>
          </w:p>
        </w:tc>
        <w:tc>
          <w:tcPr>
            <w:tcW w:w="2219" w:type="dxa"/>
            <w:vAlign w:val="center"/>
          </w:tcPr>
          <w:p>
            <w:pPr>
              <w:snapToGrid w:val="0"/>
              <w:ind w:left="-5" w:firstLine="3" w:firstLineChars="2"/>
              <w:rPr>
                <w:rFonts w:hint="eastAsia"/>
                <w:sz w:val="18"/>
                <w:szCs w:val="18"/>
              </w:rPr>
            </w:pPr>
            <w:r>
              <w:rPr>
                <w:rFonts w:hint="eastAsia"/>
                <w:sz w:val="18"/>
                <w:szCs w:val="18"/>
              </w:rPr>
              <w:t>采购与供应链管理</w:t>
            </w:r>
          </w:p>
        </w:tc>
        <w:tc>
          <w:tcPr>
            <w:tcW w:w="504" w:type="dxa"/>
            <w:vAlign w:val="center"/>
          </w:tcPr>
          <w:p>
            <w:pPr>
              <w:snapToGrid w:val="0"/>
              <w:ind w:left="-5" w:firstLine="3" w:firstLineChars="2"/>
              <w:jc w:val="center"/>
              <w:rPr>
                <w:rFonts w:hint="eastAsia"/>
                <w:sz w:val="18"/>
                <w:szCs w:val="18"/>
              </w:rPr>
            </w:pPr>
            <w:r>
              <w:rPr>
                <w:rFonts w:hint="eastAsia"/>
                <w:sz w:val="18"/>
                <w:szCs w:val="18"/>
              </w:rPr>
              <w:t>4</w:t>
            </w:r>
            <w:r>
              <w:rPr>
                <w:sz w:val="18"/>
                <w:szCs w:val="18"/>
              </w:rPr>
              <w:t>8</w:t>
            </w:r>
          </w:p>
        </w:tc>
        <w:tc>
          <w:tcPr>
            <w:tcW w:w="494"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36</w:t>
            </w:r>
          </w:p>
        </w:tc>
        <w:tc>
          <w:tcPr>
            <w:tcW w:w="459"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12</w:t>
            </w:r>
          </w:p>
        </w:tc>
        <w:tc>
          <w:tcPr>
            <w:tcW w:w="527" w:type="dxa"/>
            <w:vAlign w:val="center"/>
          </w:tcPr>
          <w:p>
            <w:pPr>
              <w:snapToGrid w:val="0"/>
              <w:ind w:left="-5" w:firstLine="3" w:firstLineChars="2"/>
              <w:jc w:val="center"/>
              <w:rPr>
                <w:rFonts w:hint="eastAsia"/>
                <w:sz w:val="18"/>
                <w:szCs w:val="18"/>
              </w:rPr>
            </w:pPr>
            <w:r>
              <w:rPr>
                <w:sz w:val="18"/>
                <w:szCs w:val="18"/>
              </w:rPr>
              <w:t>3</w:t>
            </w:r>
          </w:p>
        </w:tc>
        <w:tc>
          <w:tcPr>
            <w:tcW w:w="422"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r>
              <w:rPr>
                <w:sz w:val="18"/>
                <w:szCs w:val="18"/>
              </w:rPr>
              <w:t>3</w:t>
            </w: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jc w:val="center"/>
              <w:rPr>
                <w:sz w:val="18"/>
                <w:szCs w:val="18"/>
              </w:rPr>
            </w:pPr>
            <w:r>
              <w:rPr>
                <w:rFonts w:hint="eastAsia"/>
                <w:color w:val="000000"/>
                <w:spacing w:val="-4"/>
                <w:sz w:val="18"/>
                <w:szCs w:val="18"/>
              </w:rPr>
              <w:t>★</w:t>
            </w: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994" w:type="dxa"/>
            <w:tcBorders>
              <w:left w:val="single" w:color="auto" w:sz="6" w:space="0"/>
            </w:tcBorders>
            <w:vAlign w:val="center"/>
          </w:tcPr>
          <w:p>
            <w:pPr>
              <w:snapToGrid w:val="0"/>
              <w:ind w:left="-5" w:firstLine="3" w:firstLineChars="2"/>
              <w:rPr>
                <w:rFonts w:hint="eastAsia"/>
                <w:sz w:val="18"/>
                <w:szCs w:val="18"/>
              </w:rPr>
            </w:pPr>
            <w:r>
              <w:rPr>
                <w:sz w:val="18"/>
                <w:szCs w:val="18"/>
              </w:rPr>
              <w:t>C072268</w:t>
            </w:r>
          </w:p>
        </w:tc>
        <w:tc>
          <w:tcPr>
            <w:tcW w:w="2219" w:type="dxa"/>
            <w:vAlign w:val="center"/>
          </w:tcPr>
          <w:p>
            <w:pPr>
              <w:snapToGrid w:val="0"/>
              <w:ind w:left="-5" w:firstLine="3" w:firstLineChars="2"/>
              <w:rPr>
                <w:rFonts w:hint="eastAsia" w:eastAsia="宋体"/>
                <w:sz w:val="18"/>
                <w:szCs w:val="18"/>
                <w:lang w:eastAsia="zh-CN"/>
              </w:rPr>
            </w:pPr>
            <w:r>
              <w:rPr>
                <w:rFonts w:hint="eastAsia"/>
                <w:sz w:val="18"/>
                <w:szCs w:val="18"/>
                <w:lang w:eastAsia="zh-CN"/>
              </w:rPr>
              <w:t>物流营销</w:t>
            </w:r>
          </w:p>
        </w:tc>
        <w:tc>
          <w:tcPr>
            <w:tcW w:w="504" w:type="dxa"/>
            <w:vAlign w:val="center"/>
          </w:tcPr>
          <w:p>
            <w:pPr>
              <w:snapToGrid w:val="0"/>
              <w:ind w:left="-5" w:firstLine="3" w:firstLineChars="2"/>
              <w:jc w:val="center"/>
              <w:rPr>
                <w:rFonts w:hint="eastAsia" w:eastAsia="宋体"/>
                <w:sz w:val="18"/>
                <w:szCs w:val="18"/>
                <w:lang w:eastAsia="zh-CN"/>
              </w:rPr>
            </w:pPr>
            <w:r>
              <w:rPr>
                <w:sz w:val="18"/>
                <w:szCs w:val="18"/>
              </w:rPr>
              <w:t>4</w:t>
            </w:r>
            <w:r>
              <w:rPr>
                <w:rFonts w:hint="eastAsia"/>
                <w:sz w:val="18"/>
                <w:szCs w:val="18"/>
                <w:lang w:val="en-US" w:eastAsia="zh-CN"/>
              </w:rPr>
              <w:t>0</w:t>
            </w:r>
          </w:p>
        </w:tc>
        <w:tc>
          <w:tcPr>
            <w:tcW w:w="494"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30</w:t>
            </w:r>
          </w:p>
        </w:tc>
        <w:tc>
          <w:tcPr>
            <w:tcW w:w="459"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10</w:t>
            </w:r>
          </w:p>
        </w:tc>
        <w:tc>
          <w:tcPr>
            <w:tcW w:w="527"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2.5</w:t>
            </w:r>
          </w:p>
        </w:tc>
        <w:tc>
          <w:tcPr>
            <w:tcW w:w="422"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rFonts w:hint="eastAsia" w:eastAsia="宋体"/>
                <w:sz w:val="18"/>
                <w:szCs w:val="18"/>
                <w:lang w:val="en-US" w:eastAsia="zh-CN"/>
              </w:rPr>
            </w:pPr>
            <w:r>
              <w:rPr>
                <w:rFonts w:hint="eastAsia"/>
                <w:sz w:val="18"/>
                <w:szCs w:val="18"/>
                <w:lang w:val="en-US" w:eastAsia="zh-CN"/>
              </w:rPr>
              <w:t>3</w:t>
            </w: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jc w:val="center"/>
              <w:rPr>
                <w:sz w:val="18"/>
                <w:szCs w:val="18"/>
              </w:rPr>
            </w:pPr>
            <w:r>
              <w:rPr>
                <w:rFonts w:hint="eastAsia"/>
                <w:color w:val="000000"/>
                <w:spacing w:val="-4"/>
                <w:sz w:val="18"/>
                <w:szCs w:val="18"/>
              </w:rPr>
              <w:t>★</w:t>
            </w: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994" w:type="dxa"/>
            <w:tcBorders>
              <w:left w:val="single" w:color="auto" w:sz="6" w:space="0"/>
            </w:tcBorders>
            <w:vAlign w:val="center"/>
          </w:tcPr>
          <w:p>
            <w:pPr>
              <w:snapToGrid w:val="0"/>
              <w:ind w:left="-5" w:firstLine="3" w:firstLineChars="2"/>
              <w:rPr>
                <w:rFonts w:hint="eastAsia"/>
                <w:sz w:val="18"/>
                <w:szCs w:val="18"/>
              </w:rPr>
            </w:pPr>
            <w:r>
              <w:rPr>
                <w:sz w:val="18"/>
                <w:szCs w:val="18"/>
              </w:rPr>
              <w:t>C072269</w:t>
            </w:r>
          </w:p>
        </w:tc>
        <w:tc>
          <w:tcPr>
            <w:tcW w:w="2219" w:type="dxa"/>
            <w:vAlign w:val="center"/>
          </w:tcPr>
          <w:p>
            <w:pPr>
              <w:snapToGrid w:val="0"/>
              <w:ind w:left="-5" w:firstLine="3" w:firstLineChars="2"/>
              <w:rPr>
                <w:rFonts w:hint="eastAsia"/>
                <w:sz w:val="18"/>
                <w:szCs w:val="18"/>
              </w:rPr>
            </w:pPr>
            <w:r>
              <w:rPr>
                <w:rFonts w:hint="eastAsia"/>
                <w:sz w:val="18"/>
                <w:szCs w:val="18"/>
              </w:rPr>
              <w:t>物流成本管理</w:t>
            </w:r>
          </w:p>
        </w:tc>
        <w:tc>
          <w:tcPr>
            <w:tcW w:w="504" w:type="dxa"/>
            <w:vAlign w:val="center"/>
          </w:tcPr>
          <w:p>
            <w:pPr>
              <w:snapToGrid w:val="0"/>
              <w:ind w:left="-5" w:firstLine="3" w:firstLineChars="2"/>
              <w:jc w:val="center"/>
              <w:rPr>
                <w:rFonts w:hint="eastAsia"/>
                <w:sz w:val="18"/>
                <w:szCs w:val="18"/>
              </w:rPr>
            </w:pPr>
            <w:r>
              <w:rPr>
                <w:rFonts w:hint="eastAsia"/>
                <w:sz w:val="18"/>
                <w:szCs w:val="18"/>
              </w:rPr>
              <w:t>4</w:t>
            </w:r>
            <w:r>
              <w:rPr>
                <w:sz w:val="18"/>
                <w:szCs w:val="18"/>
              </w:rPr>
              <w:t>8</w:t>
            </w:r>
          </w:p>
        </w:tc>
        <w:tc>
          <w:tcPr>
            <w:tcW w:w="494"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36</w:t>
            </w:r>
          </w:p>
        </w:tc>
        <w:tc>
          <w:tcPr>
            <w:tcW w:w="459"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12</w:t>
            </w:r>
          </w:p>
        </w:tc>
        <w:tc>
          <w:tcPr>
            <w:tcW w:w="527" w:type="dxa"/>
            <w:vAlign w:val="center"/>
          </w:tcPr>
          <w:p>
            <w:pPr>
              <w:snapToGrid w:val="0"/>
              <w:ind w:left="-5" w:firstLine="3" w:firstLineChars="2"/>
              <w:jc w:val="center"/>
              <w:rPr>
                <w:rFonts w:hint="eastAsia"/>
                <w:sz w:val="18"/>
                <w:szCs w:val="18"/>
              </w:rPr>
            </w:pPr>
            <w:r>
              <w:rPr>
                <w:rFonts w:hint="eastAsia"/>
                <w:sz w:val="18"/>
                <w:szCs w:val="18"/>
              </w:rPr>
              <w:t>3</w:t>
            </w:r>
          </w:p>
        </w:tc>
        <w:tc>
          <w:tcPr>
            <w:tcW w:w="422"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r>
              <w:rPr>
                <w:rFonts w:hint="eastAsia"/>
                <w:sz w:val="18"/>
                <w:szCs w:val="18"/>
              </w:rPr>
              <w:t>3</w:t>
            </w: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jc w:val="center"/>
              <w:rPr>
                <w:sz w:val="18"/>
                <w:szCs w:val="18"/>
              </w:rPr>
            </w:pPr>
            <w:r>
              <w:rPr>
                <w:rFonts w:hint="eastAsia"/>
                <w:color w:val="000000"/>
                <w:spacing w:val="-4"/>
                <w:sz w:val="18"/>
                <w:szCs w:val="18"/>
              </w:rPr>
              <w:t>★</w:t>
            </w: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994" w:type="dxa"/>
            <w:tcBorders>
              <w:left w:val="single" w:color="auto" w:sz="6" w:space="0"/>
            </w:tcBorders>
            <w:vAlign w:val="center"/>
          </w:tcPr>
          <w:p>
            <w:pPr>
              <w:snapToGrid w:val="0"/>
              <w:spacing w:line="260" w:lineRule="exact"/>
              <w:jc w:val="center"/>
              <w:rPr>
                <w:sz w:val="18"/>
                <w:szCs w:val="18"/>
              </w:rPr>
            </w:pPr>
            <w:r>
              <w:rPr>
                <w:sz w:val="18"/>
                <w:szCs w:val="18"/>
              </w:rPr>
              <w:t>C072367</w:t>
            </w:r>
          </w:p>
        </w:tc>
        <w:tc>
          <w:tcPr>
            <w:tcW w:w="2219" w:type="dxa"/>
            <w:vAlign w:val="center"/>
          </w:tcPr>
          <w:p>
            <w:pPr>
              <w:snapToGrid w:val="0"/>
              <w:spacing w:line="260" w:lineRule="exact"/>
              <w:rPr>
                <w:rFonts w:hint="eastAsia"/>
                <w:sz w:val="18"/>
                <w:szCs w:val="18"/>
              </w:rPr>
            </w:pPr>
            <w:r>
              <w:rPr>
                <w:rFonts w:hAnsi="宋体"/>
                <w:sz w:val="18"/>
                <w:szCs w:val="18"/>
              </w:rPr>
              <w:t>生产与运作管理实务</w:t>
            </w:r>
          </w:p>
        </w:tc>
        <w:tc>
          <w:tcPr>
            <w:tcW w:w="504" w:type="dxa"/>
            <w:vAlign w:val="center"/>
          </w:tcPr>
          <w:p>
            <w:pPr>
              <w:spacing w:line="216" w:lineRule="exact"/>
              <w:ind w:left="20" w:leftChars="0"/>
              <w:jc w:val="center"/>
              <w:rPr>
                <w:rFonts w:hint="eastAsia"/>
                <w:sz w:val="18"/>
                <w:szCs w:val="18"/>
              </w:rPr>
            </w:pPr>
            <w:r>
              <w:rPr>
                <w:rFonts w:hint="eastAsia"/>
                <w:sz w:val="18"/>
                <w:szCs w:val="18"/>
                <w:lang w:val="en-US" w:eastAsia="zh-CN"/>
              </w:rPr>
              <w:t>40</w:t>
            </w:r>
          </w:p>
        </w:tc>
        <w:tc>
          <w:tcPr>
            <w:tcW w:w="494" w:type="dxa"/>
            <w:vAlign w:val="center"/>
          </w:tcPr>
          <w:p>
            <w:pPr>
              <w:spacing w:line="216" w:lineRule="exact"/>
              <w:ind w:left="20" w:leftChars="0"/>
              <w:jc w:val="center"/>
              <w:rPr>
                <w:rFonts w:hint="default"/>
                <w:sz w:val="18"/>
                <w:szCs w:val="18"/>
                <w:lang w:val="en-US"/>
              </w:rPr>
            </w:pPr>
            <w:r>
              <w:rPr>
                <w:rFonts w:hint="eastAsia"/>
                <w:sz w:val="18"/>
                <w:szCs w:val="18"/>
                <w:lang w:val="en-US" w:eastAsia="zh-CN"/>
              </w:rPr>
              <w:t>30</w:t>
            </w:r>
          </w:p>
        </w:tc>
        <w:tc>
          <w:tcPr>
            <w:tcW w:w="459" w:type="dxa"/>
            <w:vAlign w:val="center"/>
          </w:tcPr>
          <w:p>
            <w:pPr>
              <w:spacing w:line="216" w:lineRule="exact"/>
              <w:ind w:left="20" w:leftChars="0"/>
              <w:jc w:val="center"/>
              <w:rPr>
                <w:rFonts w:hint="default"/>
                <w:sz w:val="18"/>
                <w:szCs w:val="18"/>
                <w:lang w:val="en-US"/>
              </w:rPr>
            </w:pPr>
            <w:r>
              <w:rPr>
                <w:rFonts w:hint="eastAsia"/>
                <w:sz w:val="18"/>
                <w:szCs w:val="18"/>
                <w:lang w:val="en-US" w:eastAsia="zh-CN"/>
              </w:rPr>
              <w:t>10</w:t>
            </w:r>
          </w:p>
        </w:tc>
        <w:tc>
          <w:tcPr>
            <w:tcW w:w="527" w:type="dxa"/>
            <w:vAlign w:val="center"/>
          </w:tcPr>
          <w:p>
            <w:pPr>
              <w:spacing w:line="216" w:lineRule="exact"/>
              <w:ind w:left="20" w:leftChars="0"/>
              <w:jc w:val="center"/>
              <w:rPr>
                <w:rFonts w:hint="eastAsia"/>
                <w:sz w:val="18"/>
                <w:szCs w:val="18"/>
              </w:rPr>
            </w:pPr>
            <w:r>
              <w:rPr>
                <w:sz w:val="18"/>
                <w:szCs w:val="18"/>
              </w:rPr>
              <w:t>2.5</w:t>
            </w:r>
          </w:p>
        </w:tc>
        <w:tc>
          <w:tcPr>
            <w:tcW w:w="422" w:type="dxa"/>
            <w:vAlign w:val="center"/>
          </w:tcPr>
          <w:p>
            <w:pPr>
              <w:snapToGrid w:val="0"/>
              <w:ind w:left="-5" w:leftChars="0" w:firstLine="3" w:firstLineChars="2"/>
              <w:jc w:val="center"/>
              <w:rPr>
                <w:sz w:val="18"/>
                <w:szCs w:val="18"/>
              </w:rPr>
            </w:pPr>
          </w:p>
        </w:tc>
        <w:tc>
          <w:tcPr>
            <w:tcW w:w="380" w:type="dxa"/>
            <w:vAlign w:val="center"/>
          </w:tcPr>
          <w:p>
            <w:pPr>
              <w:snapToGrid w:val="0"/>
              <w:ind w:left="-5" w:leftChars="0" w:firstLine="3" w:firstLineChars="2"/>
              <w:jc w:val="center"/>
              <w:rPr>
                <w:sz w:val="18"/>
                <w:szCs w:val="18"/>
              </w:rPr>
            </w:pPr>
          </w:p>
        </w:tc>
        <w:tc>
          <w:tcPr>
            <w:tcW w:w="402" w:type="dxa"/>
            <w:vAlign w:val="center"/>
          </w:tcPr>
          <w:p>
            <w:pPr>
              <w:snapToGrid w:val="0"/>
              <w:ind w:left="-5" w:leftChars="0" w:firstLine="3" w:firstLineChars="2"/>
              <w:jc w:val="center"/>
              <w:rPr>
                <w:rFonts w:hint="eastAsia" w:eastAsia="宋体"/>
                <w:sz w:val="18"/>
                <w:szCs w:val="18"/>
                <w:lang w:val="en-US" w:eastAsia="zh-CN"/>
              </w:rPr>
            </w:pPr>
            <w:r>
              <w:rPr>
                <w:rFonts w:hint="eastAsia"/>
                <w:sz w:val="18"/>
                <w:szCs w:val="18"/>
                <w:lang w:val="en-US" w:eastAsia="zh-CN"/>
              </w:rPr>
              <w:t>3</w:t>
            </w:r>
          </w:p>
        </w:tc>
        <w:tc>
          <w:tcPr>
            <w:tcW w:w="380" w:type="dxa"/>
            <w:vAlign w:val="center"/>
          </w:tcPr>
          <w:p>
            <w:pPr>
              <w:snapToGrid w:val="0"/>
              <w:ind w:left="-5" w:leftChars="0" w:firstLine="3" w:firstLineChars="2"/>
              <w:jc w:val="center"/>
              <w:rPr>
                <w:rFonts w:hint="eastAsia"/>
                <w:sz w:val="18"/>
                <w:szCs w:val="18"/>
              </w:rPr>
            </w:pPr>
          </w:p>
        </w:tc>
        <w:tc>
          <w:tcPr>
            <w:tcW w:w="380" w:type="dxa"/>
            <w:vAlign w:val="center"/>
          </w:tcPr>
          <w:p>
            <w:pPr>
              <w:snapToGrid w:val="0"/>
              <w:ind w:left="-5" w:leftChars="0" w:firstLine="3" w:firstLineChars="2"/>
              <w:jc w:val="center"/>
              <w:rPr>
                <w:sz w:val="18"/>
                <w:szCs w:val="18"/>
              </w:rPr>
            </w:pPr>
          </w:p>
        </w:tc>
        <w:tc>
          <w:tcPr>
            <w:tcW w:w="380" w:type="dxa"/>
            <w:tcBorders>
              <w:right w:val="single" w:color="auto" w:sz="4" w:space="0"/>
            </w:tcBorders>
            <w:vAlign w:val="center"/>
          </w:tcPr>
          <w:p>
            <w:pPr>
              <w:snapToGrid w:val="0"/>
              <w:ind w:left="-5" w:leftChars="0" w:firstLine="3" w:firstLineChars="2"/>
              <w:jc w:val="center"/>
              <w:rPr>
                <w:sz w:val="18"/>
                <w:szCs w:val="18"/>
              </w:rPr>
            </w:pPr>
          </w:p>
        </w:tc>
        <w:tc>
          <w:tcPr>
            <w:tcW w:w="446" w:type="dxa"/>
            <w:gridSpan w:val="2"/>
            <w:tcBorders>
              <w:left w:val="single" w:color="auto" w:sz="4" w:space="0"/>
            </w:tcBorders>
            <w:vAlign w:val="center"/>
          </w:tcPr>
          <w:p>
            <w:pPr>
              <w:snapToGrid w:val="0"/>
              <w:ind w:left="-5" w:leftChars="0" w:firstLine="3" w:firstLineChars="2"/>
              <w:jc w:val="center"/>
              <w:rPr>
                <w:rFonts w:hint="eastAsia"/>
                <w:color w:val="000000"/>
                <w:spacing w:val="-4"/>
                <w:sz w:val="18"/>
                <w:szCs w:val="18"/>
              </w:rPr>
            </w:pPr>
            <w:r>
              <w:rPr>
                <w:rFonts w:hint="eastAsia"/>
                <w:color w:val="000000"/>
                <w:spacing w:val="-4"/>
                <w:sz w:val="18"/>
                <w:szCs w:val="18"/>
              </w:rPr>
              <w:t>★</w:t>
            </w: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3213" w:type="dxa"/>
            <w:gridSpan w:val="2"/>
            <w:tcBorders>
              <w:left w:val="single" w:color="auto" w:sz="6" w:space="0"/>
            </w:tcBorders>
            <w:vAlign w:val="center"/>
          </w:tcPr>
          <w:p>
            <w:pPr>
              <w:snapToGrid w:val="0"/>
              <w:ind w:left="-5" w:firstLine="3" w:firstLineChars="2"/>
              <w:rPr>
                <w:rFonts w:hint="eastAsia"/>
                <w:sz w:val="18"/>
                <w:szCs w:val="18"/>
              </w:rPr>
            </w:pPr>
            <w:r>
              <w:rPr>
                <w:rFonts w:hint="eastAsia"/>
                <w:sz w:val="18"/>
                <w:szCs w:val="18"/>
              </w:rPr>
              <w:t xml:space="preserve"> </w:t>
            </w:r>
            <w:r>
              <w:rPr>
                <w:sz w:val="18"/>
                <w:szCs w:val="18"/>
              </w:rPr>
              <w:t xml:space="preserve">            </w:t>
            </w:r>
            <w:r>
              <w:rPr>
                <w:rFonts w:hint="eastAsia"/>
                <w:sz w:val="18"/>
                <w:szCs w:val="18"/>
              </w:rPr>
              <w:t>小计</w:t>
            </w:r>
          </w:p>
        </w:tc>
        <w:tc>
          <w:tcPr>
            <w:tcW w:w="504" w:type="dxa"/>
            <w:tcBorders>
              <w:top w:val="nil"/>
              <w:left w:val="nil"/>
              <w:bottom w:val="nil"/>
              <w:right w:val="nil"/>
            </w:tcBorders>
            <w:vAlign w:val="bottom"/>
          </w:tcPr>
          <w:p>
            <w:pPr>
              <w:widowControl/>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336</w:t>
            </w:r>
          </w:p>
        </w:tc>
        <w:tc>
          <w:tcPr>
            <w:tcW w:w="494" w:type="dxa"/>
            <w:tcBorders>
              <w:top w:val="nil"/>
              <w:left w:val="nil"/>
              <w:bottom w:val="nil"/>
              <w:right w:val="nil"/>
            </w:tcBorders>
            <w:vAlign w:val="bottom"/>
          </w:tcPr>
          <w:p>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244</w:t>
            </w:r>
          </w:p>
        </w:tc>
        <w:tc>
          <w:tcPr>
            <w:tcW w:w="459" w:type="dxa"/>
            <w:tcBorders>
              <w:top w:val="nil"/>
              <w:left w:val="nil"/>
              <w:bottom w:val="nil"/>
              <w:right w:val="nil"/>
            </w:tcBorders>
            <w:vAlign w:val="bottom"/>
          </w:tcPr>
          <w:p>
            <w:pPr>
              <w:jc w:val="right"/>
              <w:rPr>
                <w:rFonts w:hint="default" w:ascii="等线" w:hAnsi="等线" w:eastAsia="等线"/>
                <w:b/>
                <w:color w:val="000000"/>
                <w:sz w:val="18"/>
                <w:szCs w:val="18"/>
                <w:lang w:val="en-US"/>
              </w:rPr>
            </w:pPr>
            <w:r>
              <w:rPr>
                <w:rFonts w:hint="eastAsia" w:ascii="等线" w:hAnsi="等线" w:eastAsia="等线"/>
                <w:b/>
                <w:color w:val="000000"/>
                <w:sz w:val="18"/>
                <w:szCs w:val="18"/>
                <w:lang w:val="en-US" w:eastAsia="zh-CN"/>
              </w:rPr>
              <w:t>92</w:t>
            </w:r>
          </w:p>
        </w:tc>
        <w:tc>
          <w:tcPr>
            <w:tcW w:w="527" w:type="dxa"/>
            <w:tcBorders>
              <w:top w:val="nil"/>
              <w:left w:val="nil"/>
              <w:bottom w:val="nil"/>
              <w:right w:val="nil"/>
            </w:tcBorders>
            <w:vAlign w:val="bottom"/>
          </w:tcPr>
          <w:p>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21</w:t>
            </w:r>
          </w:p>
        </w:tc>
        <w:tc>
          <w:tcPr>
            <w:tcW w:w="422" w:type="dxa"/>
            <w:tcBorders>
              <w:top w:val="nil"/>
              <w:left w:val="nil"/>
              <w:bottom w:val="nil"/>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0</w:t>
            </w:r>
          </w:p>
        </w:tc>
        <w:tc>
          <w:tcPr>
            <w:tcW w:w="380" w:type="dxa"/>
            <w:tcBorders>
              <w:top w:val="nil"/>
              <w:left w:val="nil"/>
              <w:bottom w:val="nil"/>
              <w:right w:val="nil"/>
            </w:tcBorders>
            <w:vAlign w:val="bottom"/>
          </w:tcPr>
          <w:p>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lang w:val="en-US" w:eastAsia="zh-CN"/>
              </w:rPr>
              <w:t>3</w:t>
            </w:r>
          </w:p>
        </w:tc>
        <w:tc>
          <w:tcPr>
            <w:tcW w:w="402" w:type="dxa"/>
            <w:tcBorders>
              <w:top w:val="nil"/>
              <w:left w:val="nil"/>
              <w:bottom w:val="nil"/>
              <w:right w:val="nil"/>
            </w:tcBorders>
            <w:vAlign w:val="bottom"/>
          </w:tcPr>
          <w:p>
            <w:pPr>
              <w:jc w:val="right"/>
              <w:rPr>
                <w:rFonts w:hint="eastAsia" w:ascii="等线" w:hAnsi="等线" w:eastAsia="等线"/>
                <w:b/>
                <w:color w:val="000000"/>
                <w:sz w:val="18"/>
                <w:szCs w:val="18"/>
                <w:lang w:val="en-US" w:eastAsia="zh-CN"/>
              </w:rPr>
            </w:pPr>
            <w:r>
              <w:rPr>
                <w:rFonts w:hint="eastAsia" w:ascii="等线" w:hAnsi="等线" w:eastAsia="等线"/>
                <w:b/>
                <w:color w:val="000000"/>
                <w:sz w:val="18"/>
                <w:szCs w:val="18"/>
              </w:rPr>
              <w:t>1</w:t>
            </w:r>
            <w:r>
              <w:rPr>
                <w:rFonts w:hint="eastAsia" w:ascii="等线" w:hAnsi="等线" w:eastAsia="等线"/>
                <w:b/>
                <w:color w:val="000000"/>
                <w:sz w:val="18"/>
                <w:szCs w:val="18"/>
                <w:lang w:val="en-US" w:eastAsia="zh-CN"/>
              </w:rPr>
              <w:t>0</w:t>
            </w:r>
          </w:p>
        </w:tc>
        <w:tc>
          <w:tcPr>
            <w:tcW w:w="380" w:type="dxa"/>
            <w:tcBorders>
              <w:top w:val="nil"/>
              <w:left w:val="nil"/>
              <w:bottom w:val="nil"/>
              <w:right w:val="nil"/>
            </w:tcBorders>
            <w:vAlign w:val="bottom"/>
          </w:tcPr>
          <w:p>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lang w:val="en-US" w:eastAsia="zh-CN"/>
              </w:rPr>
              <w:t>9</w:t>
            </w:r>
          </w:p>
        </w:tc>
        <w:tc>
          <w:tcPr>
            <w:tcW w:w="380" w:type="dxa"/>
            <w:vAlign w:val="center"/>
          </w:tcPr>
          <w:p>
            <w:pPr>
              <w:snapToGrid w:val="0"/>
              <w:ind w:left="-5" w:firstLine="4" w:firstLineChars="2"/>
              <w:jc w:val="center"/>
              <w:rPr>
                <w:b/>
                <w:bCs/>
                <w:sz w:val="18"/>
                <w:szCs w:val="18"/>
              </w:rPr>
            </w:pPr>
          </w:p>
        </w:tc>
        <w:tc>
          <w:tcPr>
            <w:tcW w:w="380" w:type="dxa"/>
            <w:tcBorders>
              <w:right w:val="single" w:color="auto" w:sz="4" w:space="0"/>
            </w:tcBorders>
            <w:vAlign w:val="center"/>
          </w:tcPr>
          <w:p>
            <w:pPr>
              <w:snapToGrid w:val="0"/>
              <w:ind w:left="-5" w:firstLine="4" w:firstLineChars="2"/>
              <w:jc w:val="center"/>
              <w:rPr>
                <w:b/>
                <w:bCs/>
                <w:sz w:val="18"/>
                <w:szCs w:val="18"/>
              </w:rPr>
            </w:pPr>
          </w:p>
        </w:tc>
        <w:tc>
          <w:tcPr>
            <w:tcW w:w="446" w:type="dxa"/>
            <w:gridSpan w:val="2"/>
            <w:tcBorders>
              <w:left w:val="single" w:color="auto" w:sz="4" w:space="0"/>
            </w:tcBorders>
            <w:vAlign w:val="center"/>
          </w:tcPr>
          <w:p>
            <w:pPr>
              <w:snapToGrid w:val="0"/>
              <w:ind w:left="-5" w:firstLine="4" w:firstLineChars="2"/>
              <w:jc w:val="center"/>
              <w:rPr>
                <w:b/>
                <w:bCs/>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restart"/>
            <w:tcBorders>
              <w:left w:val="single" w:color="auto" w:sz="6" w:space="0"/>
              <w:right w:val="single" w:color="auto" w:sz="6" w:space="0"/>
            </w:tcBorders>
            <w:vAlign w:val="center"/>
          </w:tcPr>
          <w:p>
            <w:pPr>
              <w:snapToGrid w:val="0"/>
              <w:ind w:left="-5" w:firstLine="4" w:firstLineChars="2"/>
              <w:jc w:val="center"/>
              <w:rPr>
                <w:rFonts w:hint="eastAsia"/>
                <w:b/>
                <w:sz w:val="18"/>
                <w:szCs w:val="18"/>
              </w:rPr>
            </w:pPr>
            <w:r>
              <w:rPr>
                <w:rFonts w:hint="eastAsia"/>
                <w:b/>
                <w:sz w:val="18"/>
                <w:szCs w:val="18"/>
              </w:rPr>
              <w:t>集中实践课</w:t>
            </w:r>
          </w:p>
        </w:tc>
        <w:tc>
          <w:tcPr>
            <w:tcW w:w="994" w:type="dxa"/>
            <w:tcBorders>
              <w:left w:val="single" w:color="auto" w:sz="6" w:space="0"/>
            </w:tcBorders>
            <w:vAlign w:val="center"/>
          </w:tcPr>
          <w:p>
            <w:pPr>
              <w:snapToGrid w:val="0"/>
              <w:ind w:left="-5" w:firstLine="3" w:firstLineChars="2"/>
              <w:rPr>
                <w:rFonts w:hint="eastAsia"/>
                <w:sz w:val="18"/>
                <w:szCs w:val="18"/>
              </w:rPr>
            </w:pPr>
            <w:r>
              <w:rPr>
                <w:sz w:val="18"/>
                <w:szCs w:val="18"/>
              </w:rPr>
              <w:t>C073052</w:t>
            </w:r>
          </w:p>
        </w:tc>
        <w:tc>
          <w:tcPr>
            <w:tcW w:w="2219" w:type="dxa"/>
            <w:vAlign w:val="center"/>
          </w:tcPr>
          <w:p>
            <w:pPr>
              <w:snapToGrid w:val="0"/>
              <w:ind w:left="-5" w:firstLine="3" w:firstLineChars="2"/>
              <w:rPr>
                <w:rFonts w:hint="eastAsia"/>
                <w:sz w:val="18"/>
                <w:szCs w:val="18"/>
              </w:rPr>
            </w:pPr>
            <w:r>
              <w:rPr>
                <w:rFonts w:hint="eastAsia"/>
                <w:sz w:val="18"/>
                <w:szCs w:val="18"/>
              </w:rPr>
              <w:t>物流认识实习</w:t>
            </w:r>
          </w:p>
        </w:tc>
        <w:tc>
          <w:tcPr>
            <w:tcW w:w="504"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0</w:t>
            </w:r>
          </w:p>
        </w:tc>
        <w:tc>
          <w:tcPr>
            <w:tcW w:w="494" w:type="dxa"/>
            <w:vAlign w:val="center"/>
          </w:tcPr>
          <w:p>
            <w:pPr>
              <w:snapToGrid w:val="0"/>
              <w:ind w:left="-5" w:firstLine="3" w:firstLineChars="2"/>
              <w:jc w:val="center"/>
              <w:rPr>
                <w:rFonts w:hint="eastAsia"/>
                <w:sz w:val="18"/>
                <w:szCs w:val="18"/>
              </w:rPr>
            </w:pPr>
            <w:r>
              <w:rPr>
                <w:rFonts w:hint="eastAsia"/>
                <w:sz w:val="18"/>
                <w:szCs w:val="18"/>
              </w:rPr>
              <w:t>0</w:t>
            </w:r>
          </w:p>
        </w:tc>
        <w:tc>
          <w:tcPr>
            <w:tcW w:w="459"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0</w:t>
            </w:r>
          </w:p>
        </w:tc>
        <w:tc>
          <w:tcPr>
            <w:tcW w:w="527" w:type="dxa"/>
            <w:vAlign w:val="center"/>
          </w:tcPr>
          <w:p>
            <w:pPr>
              <w:snapToGrid w:val="0"/>
              <w:ind w:left="-5" w:firstLine="3" w:firstLineChars="2"/>
              <w:jc w:val="center"/>
              <w:rPr>
                <w:rFonts w:hint="eastAsia"/>
                <w:sz w:val="18"/>
                <w:szCs w:val="18"/>
              </w:rPr>
            </w:pPr>
            <w:r>
              <w:rPr>
                <w:rFonts w:hint="eastAsia"/>
                <w:sz w:val="18"/>
                <w:szCs w:val="18"/>
              </w:rPr>
              <w:t>1</w:t>
            </w:r>
          </w:p>
        </w:tc>
        <w:tc>
          <w:tcPr>
            <w:tcW w:w="422"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402"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0</w:t>
            </w: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jc w:val="center"/>
              <w:rPr>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994" w:type="dxa"/>
            <w:tcBorders>
              <w:left w:val="single" w:color="auto" w:sz="6" w:space="0"/>
            </w:tcBorders>
            <w:vAlign w:val="center"/>
          </w:tcPr>
          <w:p>
            <w:pPr>
              <w:snapToGrid w:val="0"/>
              <w:ind w:left="-5" w:firstLine="3" w:firstLineChars="2"/>
              <w:rPr>
                <w:rFonts w:hint="eastAsia"/>
                <w:sz w:val="18"/>
                <w:szCs w:val="18"/>
              </w:rPr>
            </w:pPr>
            <w:r>
              <w:rPr>
                <w:sz w:val="18"/>
                <w:szCs w:val="18"/>
              </w:rPr>
              <w:t>C073053</w:t>
            </w:r>
          </w:p>
        </w:tc>
        <w:tc>
          <w:tcPr>
            <w:tcW w:w="2219" w:type="dxa"/>
            <w:vAlign w:val="center"/>
          </w:tcPr>
          <w:p>
            <w:pPr>
              <w:snapToGrid w:val="0"/>
              <w:ind w:left="-5" w:firstLine="3" w:firstLineChars="2"/>
              <w:rPr>
                <w:rFonts w:hint="eastAsia"/>
                <w:sz w:val="18"/>
                <w:szCs w:val="18"/>
              </w:rPr>
            </w:pPr>
            <w:r>
              <w:rPr>
                <w:rFonts w:hint="eastAsia"/>
                <w:sz w:val="18"/>
                <w:szCs w:val="18"/>
              </w:rPr>
              <w:t>物流专业综合实训</w:t>
            </w:r>
          </w:p>
        </w:tc>
        <w:tc>
          <w:tcPr>
            <w:tcW w:w="504" w:type="dxa"/>
            <w:vAlign w:val="center"/>
          </w:tcPr>
          <w:p>
            <w:pPr>
              <w:snapToGrid w:val="0"/>
              <w:ind w:left="-5" w:firstLine="3" w:firstLineChars="2"/>
              <w:jc w:val="center"/>
              <w:rPr>
                <w:rFonts w:hint="eastAsia"/>
                <w:sz w:val="18"/>
                <w:szCs w:val="18"/>
              </w:rPr>
            </w:pPr>
            <w:r>
              <w:rPr>
                <w:sz w:val="18"/>
                <w:szCs w:val="18"/>
              </w:rPr>
              <w:t>60</w:t>
            </w:r>
          </w:p>
        </w:tc>
        <w:tc>
          <w:tcPr>
            <w:tcW w:w="494" w:type="dxa"/>
            <w:vAlign w:val="center"/>
          </w:tcPr>
          <w:p>
            <w:pPr>
              <w:snapToGrid w:val="0"/>
              <w:ind w:left="-5" w:firstLine="3" w:firstLineChars="2"/>
              <w:jc w:val="center"/>
              <w:rPr>
                <w:rFonts w:hint="eastAsia"/>
                <w:sz w:val="18"/>
                <w:szCs w:val="18"/>
              </w:rPr>
            </w:pPr>
            <w:r>
              <w:rPr>
                <w:rFonts w:hint="eastAsia"/>
                <w:sz w:val="18"/>
                <w:szCs w:val="18"/>
              </w:rPr>
              <w:t>0</w:t>
            </w:r>
          </w:p>
        </w:tc>
        <w:tc>
          <w:tcPr>
            <w:tcW w:w="459" w:type="dxa"/>
            <w:vAlign w:val="center"/>
          </w:tcPr>
          <w:p>
            <w:pPr>
              <w:snapToGrid w:val="0"/>
              <w:ind w:left="-5" w:firstLine="3" w:firstLineChars="2"/>
              <w:jc w:val="center"/>
              <w:rPr>
                <w:rFonts w:hint="eastAsia"/>
                <w:sz w:val="18"/>
                <w:szCs w:val="18"/>
              </w:rPr>
            </w:pPr>
            <w:r>
              <w:rPr>
                <w:sz w:val="18"/>
                <w:szCs w:val="18"/>
              </w:rPr>
              <w:t>60</w:t>
            </w:r>
          </w:p>
        </w:tc>
        <w:tc>
          <w:tcPr>
            <w:tcW w:w="527" w:type="dxa"/>
            <w:vAlign w:val="center"/>
          </w:tcPr>
          <w:p>
            <w:pPr>
              <w:snapToGrid w:val="0"/>
              <w:ind w:left="-5" w:firstLine="3" w:firstLineChars="2"/>
              <w:jc w:val="center"/>
              <w:rPr>
                <w:rFonts w:hint="eastAsia"/>
                <w:sz w:val="18"/>
                <w:szCs w:val="18"/>
              </w:rPr>
            </w:pPr>
            <w:r>
              <w:rPr>
                <w:sz w:val="18"/>
                <w:szCs w:val="18"/>
              </w:rPr>
              <w:t>2</w:t>
            </w:r>
          </w:p>
        </w:tc>
        <w:tc>
          <w:tcPr>
            <w:tcW w:w="422"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0</w:t>
            </w: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jc w:val="center"/>
              <w:rPr>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994" w:type="dxa"/>
            <w:tcBorders>
              <w:left w:val="single" w:color="auto" w:sz="6" w:space="0"/>
            </w:tcBorders>
            <w:vAlign w:val="center"/>
          </w:tcPr>
          <w:p>
            <w:pPr>
              <w:snapToGrid w:val="0"/>
              <w:rPr>
                <w:sz w:val="18"/>
                <w:szCs w:val="18"/>
              </w:rPr>
            </w:pPr>
            <w:r>
              <w:rPr>
                <w:rFonts w:hint="eastAsia"/>
                <w:sz w:val="18"/>
                <w:szCs w:val="18"/>
                <w:lang w:val="en-US" w:eastAsia="zh-CN"/>
              </w:rPr>
              <w:t>C073111</w:t>
            </w:r>
          </w:p>
        </w:tc>
        <w:tc>
          <w:tcPr>
            <w:tcW w:w="2219" w:type="dxa"/>
            <w:vAlign w:val="center"/>
          </w:tcPr>
          <w:p>
            <w:pPr>
              <w:snapToGrid w:val="0"/>
              <w:rPr>
                <w:rFonts w:hint="eastAsia"/>
                <w:sz w:val="18"/>
                <w:szCs w:val="18"/>
              </w:rPr>
            </w:pPr>
            <w:r>
              <w:rPr>
                <w:rFonts w:hint="eastAsia"/>
                <w:sz w:val="18"/>
                <w:szCs w:val="18"/>
                <w:lang w:val="en-US" w:eastAsia="zh-CN"/>
              </w:rPr>
              <w:t>现代</w:t>
            </w:r>
            <w:bookmarkStart w:id="29" w:name="_GoBack"/>
            <w:bookmarkEnd w:id="29"/>
            <w:r>
              <w:rPr>
                <w:rFonts w:hint="eastAsia"/>
                <w:sz w:val="18"/>
                <w:szCs w:val="18"/>
                <w:lang w:val="en-US" w:eastAsia="zh-CN"/>
              </w:rPr>
              <w:t>物流管理专业企业实践</w:t>
            </w:r>
          </w:p>
        </w:tc>
        <w:tc>
          <w:tcPr>
            <w:tcW w:w="504" w:type="dxa"/>
            <w:vAlign w:val="center"/>
          </w:tcPr>
          <w:p>
            <w:pPr>
              <w:snapToGrid w:val="0"/>
              <w:ind w:left="-5" w:leftChars="0" w:firstLine="3" w:firstLineChars="2"/>
              <w:jc w:val="center"/>
              <w:rPr>
                <w:rFonts w:hint="eastAsia"/>
                <w:sz w:val="18"/>
                <w:szCs w:val="18"/>
                <w:lang w:val="en-US" w:eastAsia="zh-CN"/>
              </w:rPr>
            </w:pPr>
            <w:r>
              <w:rPr>
                <w:rFonts w:hint="eastAsia"/>
                <w:sz w:val="18"/>
                <w:szCs w:val="18"/>
                <w:lang w:val="en-US" w:eastAsia="zh-CN"/>
              </w:rPr>
              <w:t>90</w:t>
            </w:r>
          </w:p>
        </w:tc>
        <w:tc>
          <w:tcPr>
            <w:tcW w:w="494"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0</w:t>
            </w:r>
          </w:p>
        </w:tc>
        <w:tc>
          <w:tcPr>
            <w:tcW w:w="459" w:type="dxa"/>
            <w:vAlign w:val="center"/>
          </w:tcPr>
          <w:p>
            <w:pPr>
              <w:snapToGrid w:val="0"/>
              <w:ind w:left="-5" w:leftChars="0" w:firstLine="3" w:firstLineChars="2"/>
              <w:jc w:val="center"/>
              <w:rPr>
                <w:rFonts w:hint="eastAsia"/>
                <w:sz w:val="18"/>
                <w:szCs w:val="18"/>
                <w:lang w:val="en-US" w:eastAsia="zh-CN"/>
              </w:rPr>
            </w:pPr>
            <w:r>
              <w:rPr>
                <w:rFonts w:hint="eastAsia"/>
                <w:sz w:val="18"/>
                <w:szCs w:val="18"/>
                <w:lang w:val="en-US" w:eastAsia="zh-CN"/>
              </w:rPr>
              <w:t>90</w:t>
            </w:r>
          </w:p>
        </w:tc>
        <w:tc>
          <w:tcPr>
            <w:tcW w:w="527" w:type="dxa"/>
            <w:vAlign w:val="center"/>
          </w:tcPr>
          <w:p>
            <w:pPr>
              <w:snapToGrid w:val="0"/>
              <w:ind w:left="-5" w:leftChars="0" w:firstLine="3" w:firstLineChars="2"/>
              <w:jc w:val="center"/>
              <w:rPr>
                <w:rFonts w:hint="eastAsia"/>
                <w:sz w:val="18"/>
                <w:szCs w:val="18"/>
                <w:lang w:val="en-US" w:eastAsia="zh-CN"/>
              </w:rPr>
            </w:pPr>
            <w:r>
              <w:rPr>
                <w:rFonts w:hint="eastAsia"/>
                <w:sz w:val="18"/>
                <w:szCs w:val="18"/>
                <w:lang w:val="en-US" w:eastAsia="zh-CN"/>
              </w:rPr>
              <w:t>3</w:t>
            </w:r>
          </w:p>
        </w:tc>
        <w:tc>
          <w:tcPr>
            <w:tcW w:w="422" w:type="dxa"/>
            <w:vAlign w:val="center"/>
          </w:tcPr>
          <w:p>
            <w:pPr>
              <w:snapToGrid w:val="0"/>
              <w:ind w:left="-5" w:leftChars="0" w:firstLine="3" w:firstLineChars="2"/>
              <w:jc w:val="center"/>
              <w:rPr>
                <w:sz w:val="18"/>
                <w:szCs w:val="18"/>
              </w:rPr>
            </w:pPr>
          </w:p>
        </w:tc>
        <w:tc>
          <w:tcPr>
            <w:tcW w:w="380" w:type="dxa"/>
            <w:vAlign w:val="center"/>
          </w:tcPr>
          <w:p>
            <w:pPr>
              <w:snapToGrid w:val="0"/>
              <w:ind w:left="-5" w:leftChars="0" w:firstLine="3" w:firstLineChars="2"/>
              <w:jc w:val="center"/>
              <w:rPr>
                <w:sz w:val="18"/>
                <w:szCs w:val="18"/>
              </w:rPr>
            </w:pPr>
          </w:p>
        </w:tc>
        <w:tc>
          <w:tcPr>
            <w:tcW w:w="402" w:type="dxa"/>
            <w:vAlign w:val="center"/>
          </w:tcPr>
          <w:p>
            <w:pPr>
              <w:snapToGrid w:val="0"/>
              <w:ind w:left="-5" w:leftChars="0" w:firstLine="3" w:firstLineChars="2"/>
              <w:jc w:val="center"/>
              <w:rPr>
                <w:rFonts w:hint="eastAsia"/>
                <w:sz w:val="18"/>
                <w:szCs w:val="18"/>
              </w:rPr>
            </w:pPr>
          </w:p>
        </w:tc>
        <w:tc>
          <w:tcPr>
            <w:tcW w:w="380" w:type="dxa"/>
            <w:vAlign w:val="center"/>
          </w:tcPr>
          <w:p>
            <w:pPr>
              <w:snapToGrid w:val="0"/>
              <w:ind w:left="-5" w:leftChars="0" w:firstLine="3" w:firstLineChars="2"/>
              <w:jc w:val="center"/>
              <w:rPr>
                <w:rFonts w:hint="eastAsia"/>
                <w:sz w:val="18"/>
                <w:szCs w:val="18"/>
              </w:rPr>
            </w:pPr>
          </w:p>
        </w:tc>
        <w:tc>
          <w:tcPr>
            <w:tcW w:w="380" w:type="dxa"/>
            <w:vAlign w:val="center"/>
          </w:tcPr>
          <w:p>
            <w:pPr>
              <w:snapToGrid w:val="0"/>
              <w:ind w:left="-5" w:leftChars="0" w:firstLine="3" w:firstLineChars="2"/>
              <w:jc w:val="center"/>
              <w:rPr>
                <w:rFonts w:hint="eastAsia"/>
                <w:sz w:val="18"/>
                <w:szCs w:val="18"/>
                <w:lang w:val="en-US" w:eastAsia="zh-CN"/>
              </w:rPr>
            </w:pPr>
            <w:r>
              <w:rPr>
                <w:rFonts w:hint="eastAsia"/>
                <w:sz w:val="18"/>
                <w:szCs w:val="18"/>
                <w:lang w:val="en-US" w:eastAsia="zh-CN"/>
              </w:rPr>
              <w:t>15</w:t>
            </w:r>
          </w:p>
        </w:tc>
        <w:tc>
          <w:tcPr>
            <w:tcW w:w="380" w:type="dxa"/>
            <w:tcBorders>
              <w:right w:val="single" w:color="auto" w:sz="4" w:space="0"/>
            </w:tcBorders>
            <w:vAlign w:val="center"/>
          </w:tcPr>
          <w:p>
            <w:pPr>
              <w:snapToGrid w:val="0"/>
              <w:ind w:left="-5" w:leftChars="0" w:firstLine="3" w:firstLineChars="2"/>
              <w:jc w:val="center"/>
              <w:rPr>
                <w:sz w:val="18"/>
                <w:szCs w:val="18"/>
              </w:rPr>
            </w:pPr>
          </w:p>
        </w:tc>
        <w:tc>
          <w:tcPr>
            <w:tcW w:w="446" w:type="dxa"/>
            <w:gridSpan w:val="2"/>
            <w:tcBorders>
              <w:left w:val="single" w:color="auto" w:sz="4" w:space="0"/>
            </w:tcBorders>
            <w:vAlign w:val="center"/>
          </w:tcPr>
          <w:p>
            <w:pPr>
              <w:jc w:val="center"/>
              <w:rPr>
                <w:rFonts w:hint="eastAsia"/>
                <w:spacing w:val="-4"/>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994" w:type="dxa"/>
            <w:tcBorders>
              <w:left w:val="single" w:color="auto" w:sz="6" w:space="0"/>
            </w:tcBorders>
            <w:vAlign w:val="center"/>
          </w:tcPr>
          <w:p>
            <w:pPr>
              <w:snapToGrid w:val="0"/>
              <w:ind w:left="-5" w:firstLine="3" w:firstLineChars="2"/>
              <w:rPr>
                <w:rFonts w:hint="eastAsia"/>
                <w:sz w:val="18"/>
                <w:szCs w:val="18"/>
              </w:rPr>
            </w:pPr>
            <w:r>
              <w:rPr>
                <w:sz w:val="18"/>
                <w:szCs w:val="18"/>
              </w:rPr>
              <w:t>C073049</w:t>
            </w:r>
          </w:p>
        </w:tc>
        <w:tc>
          <w:tcPr>
            <w:tcW w:w="2219" w:type="dxa"/>
            <w:vAlign w:val="center"/>
          </w:tcPr>
          <w:p>
            <w:pPr>
              <w:snapToGrid w:val="0"/>
              <w:ind w:left="-5" w:leftChars="0" w:firstLine="3" w:firstLineChars="2"/>
              <w:rPr>
                <w:rFonts w:hint="eastAsia"/>
                <w:sz w:val="18"/>
                <w:szCs w:val="18"/>
              </w:rPr>
            </w:pPr>
            <w:r>
              <w:rPr>
                <w:rFonts w:hint="eastAsia"/>
                <w:sz w:val="18"/>
                <w:szCs w:val="18"/>
              </w:rPr>
              <w:t>物流管理岗位实习Ⅰ</w:t>
            </w:r>
          </w:p>
        </w:tc>
        <w:tc>
          <w:tcPr>
            <w:tcW w:w="504" w:type="dxa"/>
            <w:vAlign w:val="center"/>
          </w:tcPr>
          <w:p>
            <w:pPr>
              <w:snapToGrid w:val="0"/>
              <w:ind w:left="-5" w:leftChars="0" w:firstLine="3" w:firstLineChars="2"/>
              <w:jc w:val="center"/>
              <w:rPr>
                <w:rFonts w:hint="default" w:eastAsia="宋体"/>
                <w:sz w:val="18"/>
                <w:szCs w:val="18"/>
                <w:lang w:val="en-US" w:eastAsia="zh-CN"/>
              </w:rPr>
            </w:pPr>
            <w:r>
              <w:rPr>
                <w:rFonts w:hint="eastAsia"/>
                <w:sz w:val="18"/>
                <w:szCs w:val="18"/>
                <w:lang w:val="en-US" w:eastAsia="zh-CN"/>
              </w:rPr>
              <w:t>90</w:t>
            </w:r>
          </w:p>
        </w:tc>
        <w:tc>
          <w:tcPr>
            <w:tcW w:w="494" w:type="dxa"/>
            <w:vAlign w:val="center"/>
          </w:tcPr>
          <w:p>
            <w:pPr>
              <w:snapToGrid w:val="0"/>
              <w:ind w:left="-5" w:leftChars="0" w:firstLine="3" w:firstLineChars="2"/>
              <w:jc w:val="center"/>
              <w:rPr>
                <w:rFonts w:hint="eastAsia"/>
                <w:sz w:val="18"/>
                <w:szCs w:val="18"/>
              </w:rPr>
            </w:pPr>
            <w:r>
              <w:rPr>
                <w:rFonts w:hint="eastAsia"/>
                <w:sz w:val="18"/>
                <w:szCs w:val="18"/>
              </w:rPr>
              <w:t>0</w:t>
            </w:r>
          </w:p>
        </w:tc>
        <w:tc>
          <w:tcPr>
            <w:tcW w:w="459" w:type="dxa"/>
            <w:vAlign w:val="center"/>
          </w:tcPr>
          <w:p>
            <w:pPr>
              <w:snapToGrid w:val="0"/>
              <w:ind w:left="-5" w:leftChars="0" w:firstLine="3" w:firstLineChars="2"/>
              <w:jc w:val="center"/>
              <w:rPr>
                <w:rFonts w:hint="default" w:eastAsia="宋体"/>
                <w:sz w:val="18"/>
                <w:szCs w:val="18"/>
                <w:lang w:val="en-US" w:eastAsia="zh-CN"/>
              </w:rPr>
            </w:pPr>
            <w:r>
              <w:rPr>
                <w:rFonts w:hint="eastAsia"/>
                <w:sz w:val="18"/>
                <w:szCs w:val="18"/>
                <w:lang w:val="en-US" w:eastAsia="zh-CN"/>
              </w:rPr>
              <w:t>90</w:t>
            </w:r>
          </w:p>
        </w:tc>
        <w:tc>
          <w:tcPr>
            <w:tcW w:w="527" w:type="dxa"/>
            <w:vAlign w:val="center"/>
          </w:tcPr>
          <w:p>
            <w:pPr>
              <w:snapToGrid w:val="0"/>
              <w:ind w:left="-5" w:leftChars="0" w:firstLine="3" w:firstLineChars="2"/>
              <w:jc w:val="center"/>
              <w:rPr>
                <w:rFonts w:hint="eastAsia" w:eastAsia="宋体"/>
                <w:sz w:val="18"/>
                <w:szCs w:val="18"/>
                <w:lang w:eastAsia="zh-CN"/>
              </w:rPr>
            </w:pPr>
            <w:r>
              <w:rPr>
                <w:rFonts w:hint="eastAsia"/>
                <w:sz w:val="18"/>
                <w:szCs w:val="18"/>
                <w:lang w:val="en-US" w:eastAsia="zh-CN"/>
              </w:rPr>
              <w:t>3</w:t>
            </w:r>
          </w:p>
        </w:tc>
        <w:tc>
          <w:tcPr>
            <w:tcW w:w="422" w:type="dxa"/>
            <w:vAlign w:val="center"/>
          </w:tcPr>
          <w:p>
            <w:pPr>
              <w:snapToGrid w:val="0"/>
              <w:ind w:left="-5" w:leftChars="0" w:firstLine="3" w:firstLineChars="2"/>
              <w:jc w:val="center"/>
              <w:rPr>
                <w:sz w:val="18"/>
                <w:szCs w:val="18"/>
              </w:rPr>
            </w:pPr>
          </w:p>
        </w:tc>
        <w:tc>
          <w:tcPr>
            <w:tcW w:w="380" w:type="dxa"/>
            <w:vAlign w:val="center"/>
          </w:tcPr>
          <w:p>
            <w:pPr>
              <w:snapToGrid w:val="0"/>
              <w:ind w:left="-5" w:leftChars="0" w:firstLine="3" w:firstLineChars="2"/>
              <w:jc w:val="center"/>
              <w:rPr>
                <w:sz w:val="18"/>
                <w:szCs w:val="18"/>
              </w:rPr>
            </w:pPr>
          </w:p>
        </w:tc>
        <w:tc>
          <w:tcPr>
            <w:tcW w:w="402" w:type="dxa"/>
            <w:vAlign w:val="center"/>
          </w:tcPr>
          <w:p>
            <w:pPr>
              <w:snapToGrid w:val="0"/>
              <w:ind w:left="-5" w:leftChars="0" w:firstLine="3" w:firstLineChars="2"/>
              <w:jc w:val="center"/>
              <w:rPr>
                <w:rFonts w:hint="eastAsia"/>
                <w:sz w:val="18"/>
                <w:szCs w:val="18"/>
              </w:rPr>
            </w:pPr>
          </w:p>
        </w:tc>
        <w:tc>
          <w:tcPr>
            <w:tcW w:w="380" w:type="dxa"/>
            <w:vAlign w:val="center"/>
          </w:tcPr>
          <w:p>
            <w:pPr>
              <w:snapToGrid w:val="0"/>
              <w:ind w:left="-5" w:leftChars="0" w:firstLine="3" w:firstLineChars="2"/>
              <w:jc w:val="center"/>
              <w:rPr>
                <w:rFonts w:hint="eastAsia"/>
                <w:sz w:val="18"/>
                <w:szCs w:val="18"/>
              </w:rPr>
            </w:pPr>
          </w:p>
        </w:tc>
        <w:tc>
          <w:tcPr>
            <w:tcW w:w="380" w:type="dxa"/>
            <w:vAlign w:val="center"/>
          </w:tcPr>
          <w:p>
            <w:pPr>
              <w:snapToGrid w:val="0"/>
              <w:ind w:left="-5" w:leftChars="0" w:firstLine="3" w:firstLineChars="2"/>
              <w:jc w:val="center"/>
              <w:rPr>
                <w:rFonts w:hint="default" w:eastAsia="宋体"/>
                <w:sz w:val="18"/>
                <w:szCs w:val="18"/>
                <w:lang w:val="en-US" w:eastAsia="zh-CN"/>
              </w:rPr>
            </w:pPr>
            <w:r>
              <w:rPr>
                <w:rFonts w:hint="eastAsia" w:ascii="Calibri" w:eastAsia="宋体"/>
                <w:sz w:val="18"/>
                <w:szCs w:val="18"/>
                <w:lang w:val="en-US" w:eastAsia="zh-CN"/>
              </w:rPr>
              <w:t>15</w:t>
            </w: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jc w:val="center"/>
              <w:rPr>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994" w:type="dxa"/>
            <w:tcBorders>
              <w:left w:val="single" w:color="auto" w:sz="6" w:space="0"/>
            </w:tcBorders>
            <w:vAlign w:val="center"/>
          </w:tcPr>
          <w:p>
            <w:pPr>
              <w:snapToGrid w:val="0"/>
              <w:ind w:left="-5" w:firstLine="3" w:firstLineChars="2"/>
              <w:rPr>
                <w:rFonts w:hint="eastAsia"/>
                <w:sz w:val="18"/>
                <w:szCs w:val="18"/>
              </w:rPr>
            </w:pPr>
            <w:r>
              <w:rPr>
                <w:sz w:val="18"/>
                <w:szCs w:val="18"/>
              </w:rPr>
              <w:t>C073062</w:t>
            </w:r>
          </w:p>
        </w:tc>
        <w:tc>
          <w:tcPr>
            <w:tcW w:w="2219" w:type="dxa"/>
            <w:vAlign w:val="center"/>
          </w:tcPr>
          <w:p>
            <w:pPr>
              <w:snapToGrid w:val="0"/>
              <w:ind w:left="-5" w:firstLine="3" w:firstLineChars="2"/>
              <w:rPr>
                <w:rFonts w:hint="eastAsia"/>
                <w:sz w:val="18"/>
                <w:szCs w:val="18"/>
              </w:rPr>
            </w:pPr>
            <w:r>
              <w:rPr>
                <w:rFonts w:hint="eastAsia"/>
                <w:sz w:val="18"/>
                <w:szCs w:val="18"/>
              </w:rPr>
              <w:t>物流管理岗位实习Ⅱ</w:t>
            </w:r>
          </w:p>
        </w:tc>
        <w:tc>
          <w:tcPr>
            <w:tcW w:w="504" w:type="dxa"/>
            <w:vAlign w:val="center"/>
          </w:tcPr>
          <w:p>
            <w:pPr>
              <w:snapToGrid w:val="0"/>
              <w:ind w:left="-5" w:firstLine="3" w:firstLineChars="2"/>
              <w:jc w:val="center"/>
              <w:rPr>
                <w:rFonts w:hint="eastAsia"/>
                <w:sz w:val="18"/>
                <w:szCs w:val="18"/>
              </w:rPr>
            </w:pPr>
            <w:r>
              <w:rPr>
                <w:sz w:val="18"/>
                <w:szCs w:val="18"/>
              </w:rPr>
              <w:t>270</w:t>
            </w:r>
          </w:p>
        </w:tc>
        <w:tc>
          <w:tcPr>
            <w:tcW w:w="494" w:type="dxa"/>
            <w:vAlign w:val="center"/>
          </w:tcPr>
          <w:p>
            <w:pPr>
              <w:snapToGrid w:val="0"/>
              <w:ind w:left="-5" w:firstLine="3" w:firstLineChars="2"/>
              <w:jc w:val="center"/>
              <w:rPr>
                <w:rFonts w:hint="eastAsia"/>
                <w:sz w:val="18"/>
                <w:szCs w:val="18"/>
              </w:rPr>
            </w:pPr>
            <w:r>
              <w:rPr>
                <w:rFonts w:hint="eastAsia"/>
                <w:sz w:val="18"/>
                <w:szCs w:val="18"/>
              </w:rPr>
              <w:t>0</w:t>
            </w:r>
          </w:p>
        </w:tc>
        <w:tc>
          <w:tcPr>
            <w:tcW w:w="459" w:type="dxa"/>
            <w:vAlign w:val="center"/>
          </w:tcPr>
          <w:p>
            <w:pPr>
              <w:snapToGrid w:val="0"/>
              <w:ind w:left="-5" w:firstLine="3" w:firstLineChars="2"/>
              <w:jc w:val="center"/>
              <w:rPr>
                <w:rFonts w:hint="eastAsia"/>
                <w:sz w:val="18"/>
                <w:szCs w:val="18"/>
              </w:rPr>
            </w:pPr>
            <w:r>
              <w:rPr>
                <w:sz w:val="18"/>
                <w:szCs w:val="18"/>
              </w:rPr>
              <w:t>270</w:t>
            </w:r>
          </w:p>
        </w:tc>
        <w:tc>
          <w:tcPr>
            <w:tcW w:w="527" w:type="dxa"/>
            <w:vAlign w:val="center"/>
          </w:tcPr>
          <w:p>
            <w:pPr>
              <w:snapToGrid w:val="0"/>
              <w:ind w:left="-5" w:firstLine="3" w:firstLineChars="2"/>
              <w:jc w:val="center"/>
              <w:rPr>
                <w:rFonts w:hint="eastAsia"/>
                <w:sz w:val="18"/>
                <w:szCs w:val="18"/>
              </w:rPr>
            </w:pPr>
            <w:r>
              <w:rPr>
                <w:sz w:val="18"/>
                <w:szCs w:val="18"/>
              </w:rPr>
              <w:t>9</w:t>
            </w:r>
          </w:p>
        </w:tc>
        <w:tc>
          <w:tcPr>
            <w:tcW w:w="422"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r>
              <w:rPr>
                <w:sz w:val="18"/>
                <w:szCs w:val="18"/>
              </w:rPr>
              <w:t>15</w:t>
            </w:r>
          </w:p>
        </w:tc>
        <w:tc>
          <w:tcPr>
            <w:tcW w:w="446" w:type="dxa"/>
            <w:gridSpan w:val="2"/>
            <w:tcBorders>
              <w:left w:val="single" w:color="auto" w:sz="4" w:space="0"/>
            </w:tcBorders>
            <w:vAlign w:val="center"/>
          </w:tcPr>
          <w:p>
            <w:pPr>
              <w:jc w:val="center"/>
              <w:rPr>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50" w:type="dxa"/>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994" w:type="dxa"/>
            <w:tcBorders>
              <w:left w:val="single" w:color="auto" w:sz="6" w:space="0"/>
            </w:tcBorders>
            <w:vAlign w:val="center"/>
          </w:tcPr>
          <w:p>
            <w:pPr>
              <w:snapToGrid w:val="0"/>
              <w:ind w:left="-5" w:firstLine="3" w:firstLineChars="2"/>
              <w:rPr>
                <w:rFonts w:hint="eastAsia"/>
                <w:sz w:val="18"/>
                <w:szCs w:val="18"/>
              </w:rPr>
            </w:pPr>
            <w:r>
              <w:rPr>
                <w:sz w:val="18"/>
                <w:szCs w:val="18"/>
              </w:rPr>
              <w:t>C073047</w:t>
            </w:r>
          </w:p>
        </w:tc>
        <w:tc>
          <w:tcPr>
            <w:tcW w:w="2219" w:type="dxa"/>
            <w:vAlign w:val="center"/>
          </w:tcPr>
          <w:p>
            <w:pPr>
              <w:snapToGrid w:val="0"/>
              <w:ind w:left="-5" w:firstLine="3" w:firstLineChars="2"/>
              <w:rPr>
                <w:rFonts w:hint="eastAsia"/>
                <w:sz w:val="18"/>
                <w:szCs w:val="18"/>
              </w:rPr>
            </w:pPr>
            <w:r>
              <w:rPr>
                <w:rFonts w:hint="eastAsia"/>
                <w:sz w:val="18"/>
                <w:szCs w:val="18"/>
              </w:rPr>
              <w:t>物流管理毕业设计</w:t>
            </w:r>
          </w:p>
        </w:tc>
        <w:tc>
          <w:tcPr>
            <w:tcW w:w="504" w:type="dxa"/>
            <w:vAlign w:val="center"/>
          </w:tcPr>
          <w:p>
            <w:pPr>
              <w:snapToGrid w:val="0"/>
              <w:ind w:left="-5" w:firstLine="3" w:firstLineChars="2"/>
              <w:jc w:val="center"/>
              <w:rPr>
                <w:rFonts w:hint="eastAsia"/>
                <w:sz w:val="18"/>
                <w:szCs w:val="18"/>
              </w:rPr>
            </w:pPr>
            <w:r>
              <w:rPr>
                <w:sz w:val="18"/>
                <w:szCs w:val="18"/>
              </w:rPr>
              <w:t>180</w:t>
            </w:r>
          </w:p>
        </w:tc>
        <w:tc>
          <w:tcPr>
            <w:tcW w:w="494" w:type="dxa"/>
            <w:vAlign w:val="center"/>
          </w:tcPr>
          <w:p>
            <w:pPr>
              <w:snapToGrid w:val="0"/>
              <w:ind w:firstLine="180" w:firstLineChars="100"/>
              <w:jc w:val="center"/>
              <w:rPr>
                <w:rFonts w:hint="eastAsia"/>
                <w:sz w:val="18"/>
                <w:szCs w:val="18"/>
              </w:rPr>
            </w:pPr>
            <w:r>
              <w:rPr>
                <w:rFonts w:hint="eastAsia"/>
                <w:sz w:val="18"/>
                <w:szCs w:val="18"/>
              </w:rPr>
              <w:t>0</w:t>
            </w:r>
          </w:p>
        </w:tc>
        <w:tc>
          <w:tcPr>
            <w:tcW w:w="459" w:type="dxa"/>
            <w:vAlign w:val="center"/>
          </w:tcPr>
          <w:p>
            <w:pPr>
              <w:snapToGrid w:val="0"/>
              <w:ind w:left="-5" w:firstLine="3" w:firstLineChars="2"/>
              <w:jc w:val="center"/>
              <w:rPr>
                <w:rFonts w:hint="eastAsia"/>
                <w:sz w:val="18"/>
                <w:szCs w:val="18"/>
              </w:rPr>
            </w:pPr>
            <w:r>
              <w:rPr>
                <w:sz w:val="18"/>
                <w:szCs w:val="18"/>
              </w:rPr>
              <w:t>180</w:t>
            </w:r>
          </w:p>
        </w:tc>
        <w:tc>
          <w:tcPr>
            <w:tcW w:w="527" w:type="dxa"/>
            <w:vAlign w:val="center"/>
          </w:tcPr>
          <w:p>
            <w:pPr>
              <w:snapToGrid w:val="0"/>
              <w:ind w:left="-5" w:firstLine="3" w:firstLineChars="2"/>
              <w:jc w:val="center"/>
              <w:rPr>
                <w:rFonts w:hint="eastAsia"/>
                <w:sz w:val="18"/>
                <w:szCs w:val="18"/>
              </w:rPr>
            </w:pPr>
            <w:r>
              <w:rPr>
                <w:sz w:val="18"/>
                <w:szCs w:val="18"/>
              </w:rPr>
              <w:t>6</w:t>
            </w:r>
          </w:p>
        </w:tc>
        <w:tc>
          <w:tcPr>
            <w:tcW w:w="422"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sz w:val="18"/>
                <w:szCs w:val="18"/>
              </w:rPr>
            </w:pPr>
            <w:r>
              <w:rPr>
                <w:rFonts w:hint="eastAsia"/>
                <w:sz w:val="18"/>
                <w:szCs w:val="18"/>
              </w:rPr>
              <w:t>3</w:t>
            </w:r>
            <w:r>
              <w:rPr>
                <w:sz w:val="18"/>
                <w:szCs w:val="18"/>
              </w:rPr>
              <w:t>0</w:t>
            </w: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jc w:val="center"/>
              <w:rPr>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jc w:val="center"/>
              <w:rPr>
                <w:rFonts w:hint="eastAsia"/>
                <w:b/>
                <w:sz w:val="18"/>
                <w:szCs w:val="18"/>
              </w:rPr>
            </w:pPr>
          </w:p>
        </w:tc>
        <w:tc>
          <w:tcPr>
            <w:tcW w:w="450" w:type="dxa"/>
            <w:vMerge w:val="continue"/>
            <w:tcBorders>
              <w:left w:val="single" w:color="auto" w:sz="6" w:space="0"/>
              <w:right w:val="single" w:color="auto" w:sz="6" w:space="0"/>
            </w:tcBorders>
            <w:vAlign w:val="center"/>
          </w:tcPr>
          <w:p>
            <w:pPr>
              <w:snapToGrid w:val="0"/>
              <w:jc w:val="center"/>
              <w:rPr>
                <w:rFonts w:hint="eastAsia"/>
                <w:b/>
                <w:sz w:val="18"/>
                <w:szCs w:val="18"/>
              </w:rPr>
            </w:pPr>
          </w:p>
        </w:tc>
        <w:tc>
          <w:tcPr>
            <w:tcW w:w="3213" w:type="dxa"/>
            <w:gridSpan w:val="2"/>
            <w:tcBorders>
              <w:left w:val="single" w:color="auto" w:sz="6" w:space="0"/>
            </w:tcBorders>
            <w:vAlign w:val="center"/>
          </w:tcPr>
          <w:p>
            <w:pPr>
              <w:snapToGrid w:val="0"/>
              <w:jc w:val="center"/>
              <w:rPr>
                <w:rFonts w:hint="eastAsia"/>
                <w:b/>
                <w:sz w:val="18"/>
                <w:szCs w:val="18"/>
              </w:rPr>
            </w:pPr>
            <w:r>
              <w:rPr>
                <w:rFonts w:hint="eastAsia"/>
                <w:b/>
                <w:sz w:val="18"/>
                <w:szCs w:val="18"/>
              </w:rPr>
              <w:t>小 计</w:t>
            </w:r>
          </w:p>
        </w:tc>
        <w:tc>
          <w:tcPr>
            <w:tcW w:w="504" w:type="dxa"/>
            <w:tcBorders>
              <w:top w:val="nil"/>
              <w:left w:val="nil"/>
              <w:bottom w:val="nil"/>
              <w:right w:val="nil"/>
            </w:tcBorders>
            <w:vAlign w:val="bottom"/>
          </w:tcPr>
          <w:p>
            <w:pPr>
              <w:widowControl/>
              <w:jc w:val="right"/>
              <w:rPr>
                <w:rFonts w:ascii="等线" w:hAnsi="等线" w:eastAsia="等线"/>
                <w:b/>
                <w:color w:val="000000"/>
                <w:sz w:val="18"/>
                <w:szCs w:val="18"/>
              </w:rPr>
            </w:pPr>
            <w:r>
              <w:rPr>
                <w:rFonts w:hint="eastAsia" w:ascii="等线" w:hAnsi="等线" w:eastAsia="等线"/>
                <w:b/>
                <w:color w:val="000000"/>
                <w:sz w:val="18"/>
                <w:szCs w:val="18"/>
              </w:rPr>
              <w:t>7</w:t>
            </w:r>
            <w:r>
              <w:rPr>
                <w:rFonts w:hint="eastAsia" w:ascii="等线" w:hAnsi="等线" w:eastAsia="等线"/>
                <w:b/>
                <w:color w:val="000000"/>
                <w:sz w:val="18"/>
                <w:szCs w:val="18"/>
                <w:lang w:val="en-US" w:eastAsia="zh-CN"/>
              </w:rPr>
              <w:t>2</w:t>
            </w:r>
            <w:r>
              <w:rPr>
                <w:rFonts w:hint="eastAsia" w:ascii="等线" w:hAnsi="等线" w:eastAsia="等线"/>
                <w:b/>
                <w:color w:val="000000"/>
                <w:sz w:val="18"/>
                <w:szCs w:val="18"/>
              </w:rPr>
              <w:t>0</w:t>
            </w:r>
          </w:p>
        </w:tc>
        <w:tc>
          <w:tcPr>
            <w:tcW w:w="494" w:type="dxa"/>
            <w:tcBorders>
              <w:top w:val="nil"/>
              <w:left w:val="nil"/>
              <w:bottom w:val="nil"/>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0</w:t>
            </w:r>
          </w:p>
        </w:tc>
        <w:tc>
          <w:tcPr>
            <w:tcW w:w="459" w:type="dxa"/>
            <w:tcBorders>
              <w:top w:val="nil"/>
              <w:left w:val="nil"/>
              <w:bottom w:val="nil"/>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7</w:t>
            </w:r>
            <w:r>
              <w:rPr>
                <w:rFonts w:hint="eastAsia" w:ascii="等线" w:hAnsi="等线" w:eastAsia="等线"/>
                <w:b/>
                <w:color w:val="000000"/>
                <w:sz w:val="18"/>
                <w:szCs w:val="18"/>
                <w:lang w:val="en-US" w:eastAsia="zh-CN"/>
              </w:rPr>
              <w:t>2</w:t>
            </w:r>
            <w:r>
              <w:rPr>
                <w:rFonts w:hint="eastAsia" w:ascii="等线" w:hAnsi="等线" w:eastAsia="等线"/>
                <w:b/>
                <w:color w:val="000000"/>
                <w:sz w:val="18"/>
                <w:szCs w:val="18"/>
              </w:rPr>
              <w:t>0</w:t>
            </w:r>
          </w:p>
        </w:tc>
        <w:tc>
          <w:tcPr>
            <w:tcW w:w="527" w:type="dxa"/>
            <w:tcBorders>
              <w:top w:val="nil"/>
              <w:left w:val="nil"/>
              <w:bottom w:val="nil"/>
              <w:right w:val="nil"/>
            </w:tcBorders>
            <w:vAlign w:val="bottom"/>
          </w:tcPr>
          <w:p>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rPr>
              <w:t>2</w:t>
            </w:r>
            <w:r>
              <w:rPr>
                <w:rFonts w:hint="eastAsia" w:ascii="等线" w:hAnsi="等线" w:eastAsia="等线"/>
                <w:b/>
                <w:color w:val="000000"/>
                <w:sz w:val="18"/>
                <w:szCs w:val="18"/>
                <w:lang w:val="en-US" w:eastAsia="zh-CN"/>
              </w:rPr>
              <w:t>4</w:t>
            </w:r>
          </w:p>
        </w:tc>
        <w:tc>
          <w:tcPr>
            <w:tcW w:w="422" w:type="dxa"/>
            <w:tcBorders>
              <w:top w:val="nil"/>
              <w:left w:val="nil"/>
              <w:bottom w:val="nil"/>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0</w:t>
            </w:r>
          </w:p>
        </w:tc>
        <w:tc>
          <w:tcPr>
            <w:tcW w:w="380" w:type="dxa"/>
            <w:tcBorders>
              <w:top w:val="nil"/>
              <w:left w:val="nil"/>
              <w:bottom w:val="nil"/>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0</w:t>
            </w:r>
          </w:p>
        </w:tc>
        <w:tc>
          <w:tcPr>
            <w:tcW w:w="402" w:type="dxa"/>
            <w:tcBorders>
              <w:top w:val="nil"/>
              <w:left w:val="nil"/>
              <w:bottom w:val="nil"/>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30</w:t>
            </w:r>
          </w:p>
        </w:tc>
        <w:tc>
          <w:tcPr>
            <w:tcW w:w="380" w:type="dxa"/>
            <w:tcBorders>
              <w:top w:val="nil"/>
              <w:left w:val="nil"/>
              <w:bottom w:val="nil"/>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30</w:t>
            </w:r>
          </w:p>
        </w:tc>
        <w:tc>
          <w:tcPr>
            <w:tcW w:w="380" w:type="dxa"/>
            <w:tcBorders>
              <w:top w:val="nil"/>
              <w:left w:val="nil"/>
              <w:bottom w:val="nil"/>
              <w:right w:val="nil"/>
            </w:tcBorders>
            <w:vAlign w:val="bottom"/>
          </w:tcPr>
          <w:p>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45</w:t>
            </w:r>
          </w:p>
        </w:tc>
        <w:tc>
          <w:tcPr>
            <w:tcW w:w="380" w:type="dxa"/>
            <w:tcBorders>
              <w:top w:val="nil"/>
              <w:left w:val="nil"/>
              <w:bottom w:val="nil"/>
              <w:right w:val="nil"/>
            </w:tcBorders>
            <w:vAlign w:val="bottom"/>
          </w:tcPr>
          <w:p>
            <w:pPr>
              <w:jc w:val="right"/>
              <w:rPr>
                <w:rFonts w:hint="eastAsia" w:ascii="等线" w:hAnsi="等线" w:eastAsia="等线"/>
                <w:b/>
                <w:color w:val="000000"/>
                <w:sz w:val="18"/>
                <w:szCs w:val="18"/>
              </w:rPr>
            </w:pPr>
            <w:r>
              <w:rPr>
                <w:rFonts w:ascii="等线" w:hAnsi="等线" w:eastAsia="等线"/>
                <w:b/>
                <w:color w:val="000000"/>
                <w:sz w:val="18"/>
                <w:szCs w:val="18"/>
              </w:rPr>
              <w:t>15</w:t>
            </w:r>
          </w:p>
        </w:tc>
        <w:tc>
          <w:tcPr>
            <w:tcW w:w="446" w:type="dxa"/>
            <w:gridSpan w:val="2"/>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jc w:val="center"/>
              <w:rPr>
                <w:rFonts w:hint="eastAsia"/>
                <w:b/>
                <w:sz w:val="18"/>
                <w:szCs w:val="18"/>
              </w:rPr>
            </w:pPr>
          </w:p>
        </w:tc>
        <w:tc>
          <w:tcPr>
            <w:tcW w:w="450" w:type="dxa"/>
            <w:vMerge w:val="restart"/>
            <w:tcBorders>
              <w:left w:val="single" w:color="auto" w:sz="6" w:space="0"/>
              <w:right w:val="single" w:color="auto" w:sz="4" w:space="0"/>
            </w:tcBorders>
            <w:vAlign w:val="center"/>
          </w:tcPr>
          <w:p>
            <w:pPr>
              <w:snapToGrid w:val="0"/>
              <w:jc w:val="center"/>
              <w:rPr>
                <w:rFonts w:hint="eastAsia"/>
                <w:b/>
                <w:sz w:val="18"/>
                <w:szCs w:val="18"/>
              </w:rPr>
            </w:pPr>
            <w:r>
              <w:rPr>
                <w:rFonts w:hint="eastAsia"/>
                <w:b/>
                <w:sz w:val="18"/>
                <w:szCs w:val="18"/>
              </w:rPr>
              <w:t>其他专业课</w:t>
            </w:r>
          </w:p>
        </w:tc>
        <w:tc>
          <w:tcPr>
            <w:tcW w:w="994" w:type="dxa"/>
            <w:tcBorders>
              <w:left w:val="single" w:color="auto" w:sz="4" w:space="0"/>
              <w:right w:val="single" w:color="auto" w:sz="4" w:space="0"/>
            </w:tcBorders>
            <w:vAlign w:val="center"/>
          </w:tcPr>
          <w:p>
            <w:pPr>
              <w:snapToGrid w:val="0"/>
              <w:rPr>
                <w:rFonts w:hint="default" w:eastAsia="宋体"/>
                <w:bCs/>
                <w:sz w:val="18"/>
                <w:szCs w:val="18"/>
                <w:lang w:val="en-US" w:eastAsia="zh-CN"/>
              </w:rPr>
            </w:pPr>
            <w:r>
              <w:rPr>
                <w:bCs/>
                <w:sz w:val="18"/>
                <w:szCs w:val="18"/>
              </w:rPr>
              <w:t>C0</w:t>
            </w:r>
            <w:r>
              <w:rPr>
                <w:rFonts w:hint="eastAsia"/>
                <w:bCs/>
                <w:sz w:val="18"/>
                <w:szCs w:val="18"/>
                <w:lang w:val="en-US" w:eastAsia="zh-CN"/>
              </w:rPr>
              <w:t>72265</w:t>
            </w:r>
          </w:p>
        </w:tc>
        <w:tc>
          <w:tcPr>
            <w:tcW w:w="2219" w:type="dxa"/>
            <w:tcBorders>
              <w:left w:val="single" w:color="auto" w:sz="4" w:space="0"/>
            </w:tcBorders>
            <w:vAlign w:val="center"/>
          </w:tcPr>
          <w:p>
            <w:pPr>
              <w:snapToGrid w:val="0"/>
              <w:rPr>
                <w:rFonts w:hint="eastAsia" w:eastAsia="宋体"/>
                <w:bCs/>
                <w:sz w:val="18"/>
                <w:szCs w:val="18"/>
                <w:lang w:eastAsia="zh-CN"/>
              </w:rPr>
            </w:pPr>
            <w:r>
              <w:rPr>
                <w:rFonts w:hint="eastAsia"/>
                <w:bCs/>
                <w:sz w:val="18"/>
                <w:szCs w:val="18"/>
                <w:lang w:eastAsia="zh-CN"/>
              </w:rPr>
              <w:t>物流信息管理</w:t>
            </w:r>
          </w:p>
        </w:tc>
        <w:tc>
          <w:tcPr>
            <w:tcW w:w="504" w:type="dxa"/>
            <w:vAlign w:val="center"/>
          </w:tcPr>
          <w:p>
            <w:pPr>
              <w:snapToGrid w:val="0"/>
              <w:ind w:left="-5" w:firstLine="3" w:firstLineChars="2"/>
              <w:jc w:val="center"/>
              <w:rPr>
                <w:rFonts w:hint="eastAsia"/>
                <w:bCs/>
                <w:sz w:val="18"/>
                <w:szCs w:val="18"/>
              </w:rPr>
            </w:pPr>
            <w:r>
              <w:rPr>
                <w:rFonts w:hint="eastAsia"/>
                <w:bCs/>
                <w:sz w:val="18"/>
                <w:szCs w:val="18"/>
              </w:rPr>
              <w:t>4</w:t>
            </w:r>
            <w:r>
              <w:rPr>
                <w:bCs/>
                <w:sz w:val="18"/>
                <w:szCs w:val="18"/>
              </w:rPr>
              <w:t>8</w:t>
            </w:r>
          </w:p>
        </w:tc>
        <w:tc>
          <w:tcPr>
            <w:tcW w:w="494" w:type="dxa"/>
            <w:vAlign w:val="center"/>
          </w:tcPr>
          <w:p>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36</w:t>
            </w:r>
          </w:p>
        </w:tc>
        <w:tc>
          <w:tcPr>
            <w:tcW w:w="459" w:type="dxa"/>
            <w:vAlign w:val="center"/>
          </w:tcPr>
          <w:p>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12</w:t>
            </w:r>
          </w:p>
        </w:tc>
        <w:tc>
          <w:tcPr>
            <w:tcW w:w="527" w:type="dxa"/>
            <w:vAlign w:val="center"/>
          </w:tcPr>
          <w:p>
            <w:pPr>
              <w:snapToGrid w:val="0"/>
              <w:ind w:left="-5" w:firstLine="3" w:firstLineChars="2"/>
              <w:jc w:val="center"/>
              <w:rPr>
                <w:rFonts w:hint="eastAsia"/>
                <w:bCs/>
                <w:sz w:val="18"/>
                <w:szCs w:val="18"/>
              </w:rPr>
            </w:pPr>
            <w:r>
              <w:rPr>
                <w:rFonts w:hint="eastAsia"/>
                <w:bCs/>
                <w:sz w:val="18"/>
                <w:szCs w:val="18"/>
              </w:rPr>
              <w:t>3</w:t>
            </w:r>
          </w:p>
        </w:tc>
        <w:tc>
          <w:tcPr>
            <w:tcW w:w="422" w:type="dxa"/>
            <w:vAlign w:val="center"/>
          </w:tcPr>
          <w:p>
            <w:pPr>
              <w:snapToGrid w:val="0"/>
              <w:ind w:left="-5" w:firstLine="3" w:firstLineChars="2"/>
              <w:jc w:val="center"/>
              <w:rPr>
                <w:rFonts w:hint="eastAsia"/>
                <w:bCs/>
                <w:sz w:val="18"/>
                <w:szCs w:val="18"/>
              </w:rPr>
            </w:pPr>
          </w:p>
        </w:tc>
        <w:tc>
          <w:tcPr>
            <w:tcW w:w="380" w:type="dxa"/>
            <w:vAlign w:val="center"/>
          </w:tcPr>
          <w:p>
            <w:pPr>
              <w:snapToGrid w:val="0"/>
              <w:ind w:left="-5" w:firstLine="3" w:firstLineChars="2"/>
              <w:jc w:val="center"/>
              <w:rPr>
                <w:rFonts w:hint="eastAsia"/>
                <w:bCs/>
                <w:sz w:val="18"/>
                <w:szCs w:val="18"/>
              </w:rPr>
            </w:pPr>
          </w:p>
        </w:tc>
        <w:tc>
          <w:tcPr>
            <w:tcW w:w="402" w:type="dxa"/>
            <w:vAlign w:val="center"/>
          </w:tcPr>
          <w:p>
            <w:pPr>
              <w:snapToGrid w:val="0"/>
              <w:ind w:left="-5" w:firstLine="3" w:firstLineChars="2"/>
              <w:jc w:val="center"/>
              <w:rPr>
                <w:rFonts w:hint="eastAsia" w:eastAsia="宋体"/>
                <w:bCs/>
                <w:sz w:val="18"/>
                <w:szCs w:val="18"/>
                <w:lang w:val="en-US" w:eastAsia="zh-CN"/>
              </w:rPr>
            </w:pPr>
            <w:r>
              <w:rPr>
                <w:rFonts w:hint="eastAsia"/>
                <w:bCs/>
                <w:sz w:val="18"/>
                <w:szCs w:val="18"/>
                <w:lang w:val="en-US" w:eastAsia="zh-CN"/>
              </w:rPr>
              <w:t>3</w:t>
            </w:r>
          </w:p>
        </w:tc>
        <w:tc>
          <w:tcPr>
            <w:tcW w:w="380" w:type="dxa"/>
            <w:vAlign w:val="center"/>
          </w:tcPr>
          <w:p>
            <w:pPr>
              <w:snapToGrid w:val="0"/>
              <w:ind w:left="-5" w:firstLine="3" w:firstLineChars="2"/>
              <w:jc w:val="center"/>
              <w:rPr>
                <w:rFonts w:hint="eastAsia"/>
                <w:bCs/>
                <w:sz w:val="18"/>
                <w:szCs w:val="18"/>
              </w:rPr>
            </w:pP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jc w:val="center"/>
              <w:rPr>
                <w:rFonts w:hint="eastAsia"/>
                <w:b/>
                <w:sz w:val="18"/>
                <w:szCs w:val="18"/>
              </w:rPr>
            </w:pPr>
          </w:p>
        </w:tc>
        <w:tc>
          <w:tcPr>
            <w:tcW w:w="450" w:type="dxa"/>
            <w:vMerge w:val="continue"/>
            <w:tcBorders>
              <w:left w:val="single" w:color="auto" w:sz="6" w:space="0"/>
              <w:right w:val="single" w:color="auto" w:sz="4" w:space="0"/>
            </w:tcBorders>
            <w:vAlign w:val="center"/>
          </w:tcPr>
          <w:p>
            <w:pPr>
              <w:snapToGrid w:val="0"/>
              <w:jc w:val="center"/>
              <w:rPr>
                <w:rFonts w:hint="eastAsia"/>
                <w:b/>
                <w:sz w:val="18"/>
                <w:szCs w:val="18"/>
              </w:rPr>
            </w:pPr>
          </w:p>
        </w:tc>
        <w:tc>
          <w:tcPr>
            <w:tcW w:w="994" w:type="dxa"/>
            <w:tcBorders>
              <w:left w:val="single" w:color="auto" w:sz="4" w:space="0"/>
              <w:right w:val="single" w:color="auto" w:sz="4" w:space="0"/>
            </w:tcBorders>
            <w:vAlign w:val="top"/>
          </w:tcPr>
          <w:p>
            <w:pPr>
              <w:rPr>
                <w:sz w:val="18"/>
                <w:szCs w:val="18"/>
              </w:rPr>
            </w:pPr>
            <w:r>
              <w:rPr>
                <w:sz w:val="18"/>
                <w:szCs w:val="18"/>
              </w:rPr>
              <w:t>C072079</w:t>
            </w:r>
          </w:p>
        </w:tc>
        <w:tc>
          <w:tcPr>
            <w:tcW w:w="2219" w:type="dxa"/>
            <w:tcBorders>
              <w:left w:val="single" w:color="auto" w:sz="4" w:space="0"/>
            </w:tcBorders>
            <w:vAlign w:val="top"/>
          </w:tcPr>
          <w:p>
            <w:pPr>
              <w:rPr>
                <w:sz w:val="18"/>
                <w:szCs w:val="18"/>
              </w:rPr>
            </w:pPr>
            <w:r>
              <w:rPr>
                <w:sz w:val="18"/>
                <w:szCs w:val="18"/>
              </w:rPr>
              <w:t>经济法概论</w:t>
            </w:r>
          </w:p>
        </w:tc>
        <w:tc>
          <w:tcPr>
            <w:tcW w:w="504" w:type="dxa"/>
            <w:vAlign w:val="center"/>
          </w:tcPr>
          <w:p>
            <w:pPr>
              <w:snapToGrid w:val="0"/>
              <w:ind w:left="-5" w:firstLine="3" w:firstLineChars="2"/>
              <w:jc w:val="center"/>
              <w:rPr>
                <w:rFonts w:hint="eastAsia"/>
                <w:bCs/>
                <w:sz w:val="18"/>
                <w:szCs w:val="18"/>
              </w:rPr>
            </w:pPr>
            <w:r>
              <w:rPr>
                <w:rFonts w:hint="eastAsia"/>
                <w:bCs/>
                <w:sz w:val="18"/>
                <w:szCs w:val="18"/>
              </w:rPr>
              <w:t>4</w:t>
            </w:r>
            <w:r>
              <w:rPr>
                <w:bCs/>
                <w:sz w:val="18"/>
                <w:szCs w:val="18"/>
              </w:rPr>
              <w:t>0</w:t>
            </w:r>
          </w:p>
        </w:tc>
        <w:tc>
          <w:tcPr>
            <w:tcW w:w="494" w:type="dxa"/>
            <w:vAlign w:val="center"/>
          </w:tcPr>
          <w:p>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30</w:t>
            </w:r>
          </w:p>
        </w:tc>
        <w:tc>
          <w:tcPr>
            <w:tcW w:w="459" w:type="dxa"/>
            <w:vAlign w:val="center"/>
          </w:tcPr>
          <w:p>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10</w:t>
            </w:r>
          </w:p>
        </w:tc>
        <w:tc>
          <w:tcPr>
            <w:tcW w:w="527" w:type="dxa"/>
            <w:vAlign w:val="center"/>
          </w:tcPr>
          <w:p>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2.5</w:t>
            </w:r>
          </w:p>
        </w:tc>
        <w:tc>
          <w:tcPr>
            <w:tcW w:w="422" w:type="dxa"/>
            <w:vAlign w:val="center"/>
          </w:tcPr>
          <w:p>
            <w:pPr>
              <w:snapToGrid w:val="0"/>
              <w:ind w:left="-5" w:firstLine="3" w:firstLineChars="2"/>
              <w:jc w:val="center"/>
              <w:rPr>
                <w:rFonts w:hint="eastAsia"/>
                <w:bCs/>
                <w:sz w:val="18"/>
                <w:szCs w:val="18"/>
              </w:rPr>
            </w:pPr>
          </w:p>
        </w:tc>
        <w:tc>
          <w:tcPr>
            <w:tcW w:w="380" w:type="dxa"/>
            <w:vAlign w:val="center"/>
          </w:tcPr>
          <w:p>
            <w:pPr>
              <w:snapToGrid w:val="0"/>
              <w:ind w:left="-5" w:firstLine="3" w:firstLineChars="2"/>
              <w:jc w:val="center"/>
              <w:rPr>
                <w:rFonts w:hint="eastAsia"/>
                <w:bCs/>
                <w:sz w:val="18"/>
                <w:szCs w:val="18"/>
              </w:rPr>
            </w:pPr>
          </w:p>
        </w:tc>
        <w:tc>
          <w:tcPr>
            <w:tcW w:w="402" w:type="dxa"/>
            <w:vAlign w:val="center"/>
          </w:tcPr>
          <w:p>
            <w:pPr>
              <w:snapToGrid w:val="0"/>
              <w:ind w:left="-5" w:firstLine="3" w:firstLineChars="2"/>
              <w:jc w:val="center"/>
              <w:rPr>
                <w:rFonts w:hint="eastAsia"/>
                <w:bCs/>
                <w:sz w:val="18"/>
                <w:szCs w:val="18"/>
              </w:rPr>
            </w:pPr>
            <w:r>
              <w:rPr>
                <w:rFonts w:hint="eastAsia"/>
                <w:bCs/>
                <w:sz w:val="18"/>
                <w:szCs w:val="18"/>
              </w:rPr>
              <w:t>3</w:t>
            </w:r>
          </w:p>
        </w:tc>
        <w:tc>
          <w:tcPr>
            <w:tcW w:w="380" w:type="dxa"/>
            <w:vAlign w:val="center"/>
          </w:tcPr>
          <w:p>
            <w:pPr>
              <w:snapToGrid w:val="0"/>
              <w:ind w:left="-5" w:firstLine="3" w:firstLineChars="2"/>
              <w:jc w:val="center"/>
              <w:rPr>
                <w:rFonts w:hint="eastAsia"/>
                <w:bCs/>
                <w:sz w:val="18"/>
                <w:szCs w:val="18"/>
              </w:rPr>
            </w:pP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jc w:val="center"/>
              <w:rPr>
                <w:rFonts w:hint="eastAsia"/>
                <w:b/>
                <w:sz w:val="18"/>
                <w:szCs w:val="18"/>
              </w:rPr>
            </w:pPr>
          </w:p>
        </w:tc>
        <w:tc>
          <w:tcPr>
            <w:tcW w:w="450" w:type="dxa"/>
            <w:vMerge w:val="continue"/>
            <w:tcBorders>
              <w:left w:val="single" w:color="auto" w:sz="6" w:space="0"/>
              <w:right w:val="single" w:color="auto" w:sz="4" w:space="0"/>
            </w:tcBorders>
            <w:vAlign w:val="center"/>
          </w:tcPr>
          <w:p>
            <w:pPr>
              <w:snapToGrid w:val="0"/>
              <w:jc w:val="center"/>
              <w:rPr>
                <w:rFonts w:hint="eastAsia"/>
                <w:b/>
                <w:sz w:val="18"/>
                <w:szCs w:val="18"/>
              </w:rPr>
            </w:pPr>
          </w:p>
        </w:tc>
        <w:tc>
          <w:tcPr>
            <w:tcW w:w="994" w:type="dxa"/>
            <w:tcBorders>
              <w:left w:val="single" w:color="auto" w:sz="4" w:space="0"/>
              <w:right w:val="single" w:color="auto" w:sz="4" w:space="0"/>
            </w:tcBorders>
            <w:vAlign w:val="center"/>
          </w:tcPr>
          <w:p>
            <w:pPr>
              <w:snapToGrid w:val="0"/>
              <w:rPr>
                <w:rFonts w:hint="eastAsia"/>
                <w:b/>
                <w:sz w:val="18"/>
                <w:szCs w:val="18"/>
              </w:rPr>
            </w:pPr>
            <w:r>
              <w:rPr>
                <w:rFonts w:ascii="Dialog" w:hAnsi="Times New Roman" w:eastAsia="Dialog" w:cs="Dialog"/>
                <w:kern w:val="2"/>
                <w:sz w:val="18"/>
                <w:szCs w:val="18"/>
              </w:rPr>
              <w:t>C072089</w:t>
            </w:r>
          </w:p>
        </w:tc>
        <w:tc>
          <w:tcPr>
            <w:tcW w:w="2219" w:type="dxa"/>
            <w:tcBorders>
              <w:left w:val="single" w:color="auto" w:sz="4" w:space="0"/>
            </w:tcBorders>
            <w:vAlign w:val="center"/>
          </w:tcPr>
          <w:p>
            <w:pPr>
              <w:snapToGrid w:val="0"/>
              <w:rPr>
                <w:rFonts w:hint="eastAsia"/>
                <w:bCs/>
                <w:sz w:val="18"/>
                <w:szCs w:val="18"/>
              </w:rPr>
            </w:pPr>
            <w:r>
              <w:rPr>
                <w:rFonts w:hint="eastAsia"/>
                <w:bCs/>
                <w:sz w:val="18"/>
                <w:szCs w:val="18"/>
              </w:rPr>
              <w:t>客户服务实务</w:t>
            </w:r>
          </w:p>
        </w:tc>
        <w:tc>
          <w:tcPr>
            <w:tcW w:w="504" w:type="dxa"/>
            <w:vAlign w:val="center"/>
          </w:tcPr>
          <w:p>
            <w:pPr>
              <w:snapToGrid w:val="0"/>
              <w:ind w:left="-5" w:firstLine="3" w:firstLineChars="2"/>
              <w:jc w:val="center"/>
              <w:rPr>
                <w:rFonts w:hint="eastAsia"/>
                <w:bCs/>
                <w:sz w:val="18"/>
                <w:szCs w:val="18"/>
              </w:rPr>
            </w:pPr>
            <w:r>
              <w:rPr>
                <w:rFonts w:hint="eastAsia"/>
                <w:bCs/>
                <w:sz w:val="18"/>
                <w:szCs w:val="18"/>
              </w:rPr>
              <w:t>4</w:t>
            </w:r>
            <w:r>
              <w:rPr>
                <w:bCs/>
                <w:sz w:val="18"/>
                <w:szCs w:val="18"/>
              </w:rPr>
              <w:t>8</w:t>
            </w:r>
          </w:p>
        </w:tc>
        <w:tc>
          <w:tcPr>
            <w:tcW w:w="494" w:type="dxa"/>
            <w:vAlign w:val="center"/>
          </w:tcPr>
          <w:p>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36</w:t>
            </w:r>
          </w:p>
        </w:tc>
        <w:tc>
          <w:tcPr>
            <w:tcW w:w="459" w:type="dxa"/>
            <w:vAlign w:val="center"/>
          </w:tcPr>
          <w:p>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12</w:t>
            </w:r>
          </w:p>
        </w:tc>
        <w:tc>
          <w:tcPr>
            <w:tcW w:w="527" w:type="dxa"/>
            <w:vAlign w:val="center"/>
          </w:tcPr>
          <w:p>
            <w:pPr>
              <w:snapToGrid w:val="0"/>
              <w:ind w:left="-5" w:firstLine="3" w:firstLineChars="2"/>
              <w:jc w:val="center"/>
              <w:rPr>
                <w:rFonts w:hint="eastAsia"/>
                <w:bCs/>
                <w:sz w:val="18"/>
                <w:szCs w:val="18"/>
              </w:rPr>
            </w:pPr>
            <w:r>
              <w:rPr>
                <w:bCs/>
                <w:sz w:val="18"/>
                <w:szCs w:val="18"/>
              </w:rPr>
              <w:t>3</w:t>
            </w:r>
          </w:p>
        </w:tc>
        <w:tc>
          <w:tcPr>
            <w:tcW w:w="422" w:type="dxa"/>
            <w:vAlign w:val="center"/>
          </w:tcPr>
          <w:p>
            <w:pPr>
              <w:snapToGrid w:val="0"/>
              <w:ind w:left="-5" w:firstLine="3" w:firstLineChars="2"/>
              <w:jc w:val="center"/>
              <w:rPr>
                <w:rFonts w:hint="eastAsia"/>
                <w:bCs/>
                <w:sz w:val="18"/>
                <w:szCs w:val="18"/>
              </w:rPr>
            </w:pPr>
          </w:p>
        </w:tc>
        <w:tc>
          <w:tcPr>
            <w:tcW w:w="380" w:type="dxa"/>
            <w:vAlign w:val="center"/>
          </w:tcPr>
          <w:p>
            <w:pPr>
              <w:snapToGrid w:val="0"/>
              <w:ind w:left="-5" w:firstLine="3" w:firstLineChars="2"/>
              <w:jc w:val="center"/>
              <w:rPr>
                <w:rFonts w:hint="eastAsia"/>
                <w:bCs/>
                <w:sz w:val="18"/>
                <w:szCs w:val="18"/>
              </w:rPr>
            </w:pPr>
          </w:p>
        </w:tc>
        <w:tc>
          <w:tcPr>
            <w:tcW w:w="402" w:type="dxa"/>
            <w:vAlign w:val="center"/>
          </w:tcPr>
          <w:p>
            <w:pPr>
              <w:snapToGrid w:val="0"/>
              <w:ind w:left="-5" w:firstLine="3" w:firstLineChars="2"/>
              <w:jc w:val="center"/>
              <w:rPr>
                <w:rFonts w:hint="eastAsia"/>
                <w:bCs/>
                <w:sz w:val="18"/>
                <w:szCs w:val="18"/>
              </w:rPr>
            </w:pPr>
          </w:p>
        </w:tc>
        <w:tc>
          <w:tcPr>
            <w:tcW w:w="380" w:type="dxa"/>
            <w:vAlign w:val="center"/>
          </w:tcPr>
          <w:p>
            <w:pPr>
              <w:snapToGrid w:val="0"/>
              <w:ind w:left="-5" w:firstLine="3" w:firstLineChars="2"/>
              <w:jc w:val="center"/>
              <w:rPr>
                <w:rFonts w:hint="eastAsia"/>
                <w:bCs/>
                <w:sz w:val="18"/>
                <w:szCs w:val="18"/>
              </w:rPr>
            </w:pPr>
            <w:r>
              <w:rPr>
                <w:rFonts w:hint="eastAsia"/>
                <w:bCs/>
                <w:sz w:val="18"/>
                <w:szCs w:val="18"/>
              </w:rPr>
              <w:t>3</w:t>
            </w: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jc w:val="center"/>
              <w:rPr>
                <w:rFonts w:hint="eastAsia"/>
                <w:b/>
                <w:sz w:val="18"/>
                <w:szCs w:val="18"/>
              </w:rPr>
            </w:pPr>
          </w:p>
        </w:tc>
        <w:tc>
          <w:tcPr>
            <w:tcW w:w="450" w:type="dxa"/>
            <w:vMerge w:val="continue"/>
            <w:tcBorders>
              <w:left w:val="single" w:color="auto" w:sz="6" w:space="0"/>
              <w:right w:val="single" w:color="auto" w:sz="4" w:space="0"/>
            </w:tcBorders>
            <w:vAlign w:val="center"/>
          </w:tcPr>
          <w:p>
            <w:pPr>
              <w:snapToGrid w:val="0"/>
              <w:jc w:val="center"/>
              <w:rPr>
                <w:rFonts w:hint="eastAsia"/>
                <w:b/>
                <w:sz w:val="18"/>
                <w:szCs w:val="18"/>
              </w:rPr>
            </w:pPr>
          </w:p>
        </w:tc>
        <w:tc>
          <w:tcPr>
            <w:tcW w:w="994" w:type="dxa"/>
            <w:tcBorders>
              <w:left w:val="single" w:color="auto" w:sz="6" w:space="0"/>
            </w:tcBorders>
            <w:vAlign w:val="center"/>
          </w:tcPr>
          <w:p>
            <w:pPr>
              <w:snapToGrid w:val="0"/>
              <w:ind w:left="-5" w:firstLine="3" w:firstLineChars="2"/>
              <w:rPr>
                <w:sz w:val="18"/>
                <w:szCs w:val="18"/>
              </w:rPr>
            </w:pPr>
            <w:r>
              <w:rPr>
                <w:rFonts w:hint="eastAsia"/>
                <w:sz w:val="18"/>
                <w:szCs w:val="18"/>
              </w:rPr>
              <w:t>C</w:t>
            </w:r>
            <w:r>
              <w:rPr>
                <w:sz w:val="18"/>
                <w:szCs w:val="18"/>
              </w:rPr>
              <w:t>072135</w:t>
            </w:r>
          </w:p>
        </w:tc>
        <w:tc>
          <w:tcPr>
            <w:tcW w:w="2219" w:type="dxa"/>
            <w:tcBorders>
              <w:left w:val="single" w:color="auto" w:sz="6" w:space="0"/>
            </w:tcBorders>
            <w:vAlign w:val="center"/>
          </w:tcPr>
          <w:p>
            <w:pPr>
              <w:snapToGrid w:val="0"/>
              <w:rPr>
                <w:rFonts w:hint="eastAsia" w:eastAsia="宋体"/>
                <w:sz w:val="18"/>
                <w:szCs w:val="18"/>
                <w:lang w:eastAsia="zh-CN"/>
              </w:rPr>
            </w:pPr>
            <w:r>
              <w:rPr>
                <w:rFonts w:hint="eastAsia"/>
                <w:sz w:val="18"/>
                <w:szCs w:val="18"/>
                <w:lang w:eastAsia="zh-CN"/>
              </w:rPr>
              <w:t>物流经济地理</w:t>
            </w:r>
          </w:p>
        </w:tc>
        <w:tc>
          <w:tcPr>
            <w:tcW w:w="504" w:type="dxa"/>
            <w:vAlign w:val="center"/>
          </w:tcPr>
          <w:p>
            <w:pPr>
              <w:snapToGrid w:val="0"/>
              <w:ind w:left="-5" w:firstLine="3" w:firstLineChars="2"/>
              <w:jc w:val="center"/>
              <w:rPr>
                <w:rFonts w:hint="eastAsia"/>
                <w:sz w:val="18"/>
                <w:szCs w:val="18"/>
              </w:rPr>
            </w:pPr>
            <w:r>
              <w:rPr>
                <w:rFonts w:hint="eastAsia"/>
                <w:sz w:val="18"/>
                <w:szCs w:val="18"/>
              </w:rPr>
              <w:t>4</w:t>
            </w:r>
            <w:r>
              <w:rPr>
                <w:sz w:val="18"/>
                <w:szCs w:val="18"/>
              </w:rPr>
              <w:t>8</w:t>
            </w:r>
          </w:p>
        </w:tc>
        <w:tc>
          <w:tcPr>
            <w:tcW w:w="494"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36</w:t>
            </w:r>
          </w:p>
        </w:tc>
        <w:tc>
          <w:tcPr>
            <w:tcW w:w="459"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12</w:t>
            </w:r>
          </w:p>
        </w:tc>
        <w:tc>
          <w:tcPr>
            <w:tcW w:w="527" w:type="dxa"/>
            <w:vAlign w:val="center"/>
          </w:tcPr>
          <w:p>
            <w:pPr>
              <w:snapToGrid w:val="0"/>
              <w:ind w:left="-5" w:firstLine="3" w:firstLineChars="2"/>
              <w:jc w:val="center"/>
              <w:rPr>
                <w:rFonts w:hint="eastAsia"/>
                <w:sz w:val="18"/>
                <w:szCs w:val="18"/>
              </w:rPr>
            </w:pPr>
            <w:r>
              <w:rPr>
                <w:rFonts w:hint="eastAsia"/>
                <w:sz w:val="18"/>
                <w:szCs w:val="18"/>
              </w:rPr>
              <w:t>3</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sz w:val="18"/>
                <w:szCs w:val="18"/>
              </w:rPr>
            </w:pPr>
          </w:p>
        </w:tc>
        <w:tc>
          <w:tcPr>
            <w:tcW w:w="40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eastAsia="宋体"/>
                <w:sz w:val="18"/>
                <w:szCs w:val="18"/>
                <w:lang w:val="en-US" w:eastAsia="zh-CN"/>
              </w:rPr>
            </w:pPr>
            <w:r>
              <w:rPr>
                <w:rFonts w:hint="eastAsia"/>
                <w:sz w:val="18"/>
                <w:szCs w:val="18"/>
                <w:lang w:val="en-US" w:eastAsia="zh-CN"/>
              </w:rPr>
              <w:t>3</w:t>
            </w: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rFonts w:hint="eastAsia"/>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jc w:val="center"/>
              <w:rPr>
                <w:rFonts w:hint="eastAsia"/>
                <w:b/>
                <w:sz w:val="18"/>
                <w:szCs w:val="18"/>
              </w:rPr>
            </w:pPr>
          </w:p>
        </w:tc>
        <w:tc>
          <w:tcPr>
            <w:tcW w:w="450" w:type="dxa"/>
            <w:vMerge w:val="continue"/>
            <w:tcBorders>
              <w:left w:val="single" w:color="auto" w:sz="6" w:space="0"/>
              <w:right w:val="single" w:color="auto" w:sz="4" w:space="0"/>
            </w:tcBorders>
            <w:vAlign w:val="center"/>
          </w:tcPr>
          <w:p>
            <w:pPr>
              <w:snapToGrid w:val="0"/>
              <w:jc w:val="center"/>
              <w:rPr>
                <w:rFonts w:hint="eastAsia"/>
                <w:b/>
                <w:sz w:val="18"/>
                <w:szCs w:val="18"/>
              </w:rPr>
            </w:pPr>
          </w:p>
        </w:tc>
        <w:tc>
          <w:tcPr>
            <w:tcW w:w="994" w:type="dxa"/>
            <w:tcBorders>
              <w:left w:val="single" w:color="auto" w:sz="6" w:space="0"/>
            </w:tcBorders>
            <w:vAlign w:val="center"/>
          </w:tcPr>
          <w:p>
            <w:pPr>
              <w:snapToGrid w:val="0"/>
              <w:ind w:left="-5" w:firstLine="3" w:firstLineChars="2"/>
              <w:rPr>
                <w:rFonts w:hint="eastAsia"/>
                <w:sz w:val="18"/>
                <w:szCs w:val="18"/>
              </w:rPr>
            </w:pPr>
            <w:r>
              <w:rPr>
                <w:sz w:val="18"/>
                <w:szCs w:val="18"/>
              </w:rPr>
              <w:t>C022075</w:t>
            </w:r>
          </w:p>
        </w:tc>
        <w:tc>
          <w:tcPr>
            <w:tcW w:w="2219" w:type="dxa"/>
            <w:tcBorders>
              <w:left w:val="single" w:color="auto" w:sz="6" w:space="0"/>
            </w:tcBorders>
            <w:vAlign w:val="center"/>
          </w:tcPr>
          <w:p>
            <w:pPr>
              <w:snapToGrid w:val="0"/>
              <w:ind w:left="-5" w:firstLine="3" w:firstLineChars="2"/>
              <w:rPr>
                <w:rFonts w:hint="eastAsia"/>
                <w:sz w:val="18"/>
                <w:szCs w:val="18"/>
              </w:rPr>
            </w:pPr>
            <w:r>
              <w:rPr>
                <w:rFonts w:hint="eastAsia"/>
                <w:sz w:val="18"/>
                <w:szCs w:val="18"/>
              </w:rPr>
              <w:t>电子商务概论</w:t>
            </w:r>
          </w:p>
        </w:tc>
        <w:tc>
          <w:tcPr>
            <w:tcW w:w="504" w:type="dxa"/>
            <w:vAlign w:val="center"/>
          </w:tcPr>
          <w:p>
            <w:pPr>
              <w:snapToGrid w:val="0"/>
              <w:ind w:left="-5" w:firstLine="3" w:firstLineChars="2"/>
              <w:jc w:val="center"/>
              <w:rPr>
                <w:rFonts w:hint="eastAsia" w:eastAsia="宋体"/>
                <w:sz w:val="18"/>
                <w:szCs w:val="18"/>
                <w:lang w:val="en-US" w:eastAsia="zh-CN"/>
              </w:rPr>
            </w:pPr>
            <w:r>
              <w:rPr>
                <w:rFonts w:hint="eastAsia"/>
                <w:sz w:val="18"/>
                <w:szCs w:val="18"/>
              </w:rPr>
              <w:t>4</w:t>
            </w:r>
            <w:r>
              <w:rPr>
                <w:rFonts w:hint="eastAsia"/>
                <w:sz w:val="18"/>
                <w:szCs w:val="18"/>
                <w:lang w:val="en-US" w:eastAsia="zh-CN"/>
              </w:rPr>
              <w:t>8</w:t>
            </w:r>
          </w:p>
        </w:tc>
        <w:tc>
          <w:tcPr>
            <w:tcW w:w="494"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36</w:t>
            </w:r>
          </w:p>
        </w:tc>
        <w:tc>
          <w:tcPr>
            <w:tcW w:w="459"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12</w:t>
            </w:r>
          </w:p>
        </w:tc>
        <w:tc>
          <w:tcPr>
            <w:tcW w:w="527" w:type="dxa"/>
            <w:vAlign w:val="center"/>
          </w:tcPr>
          <w:p>
            <w:pPr>
              <w:snapToGrid w:val="0"/>
              <w:ind w:left="-5" w:firstLine="3" w:firstLineChars="2"/>
              <w:jc w:val="center"/>
              <w:rPr>
                <w:rFonts w:hint="eastAsia" w:eastAsia="宋体"/>
                <w:sz w:val="18"/>
                <w:szCs w:val="18"/>
                <w:lang w:val="en-US" w:eastAsia="zh-CN"/>
              </w:rPr>
            </w:pPr>
            <w:r>
              <w:rPr>
                <w:rFonts w:hint="eastAsia"/>
                <w:sz w:val="18"/>
                <w:szCs w:val="18"/>
                <w:lang w:val="en-US" w:eastAsia="zh-CN"/>
              </w:rPr>
              <w:t>3</w:t>
            </w:r>
          </w:p>
        </w:tc>
        <w:tc>
          <w:tcPr>
            <w:tcW w:w="422" w:type="dxa"/>
            <w:vAlign w:val="center"/>
          </w:tcPr>
          <w:p>
            <w:pPr>
              <w:snapToGrid w:val="0"/>
              <w:ind w:left="-5" w:firstLine="3" w:firstLineChars="2"/>
              <w:jc w:val="center"/>
              <w:rPr>
                <w:rFonts w:hint="eastAsia"/>
                <w:sz w:val="18"/>
                <w:szCs w:val="18"/>
              </w:rPr>
            </w:pPr>
          </w:p>
        </w:tc>
        <w:tc>
          <w:tcPr>
            <w:tcW w:w="380" w:type="dxa"/>
            <w:vAlign w:val="center"/>
          </w:tcPr>
          <w:p>
            <w:pPr>
              <w:snapToGrid w:val="0"/>
              <w:ind w:left="-5" w:firstLine="3" w:firstLineChars="2"/>
              <w:jc w:val="center"/>
              <w:rPr>
                <w:rFonts w:hint="eastAsia"/>
                <w:sz w:val="18"/>
                <w:szCs w:val="18"/>
              </w:rPr>
            </w:pPr>
          </w:p>
        </w:tc>
        <w:tc>
          <w:tcPr>
            <w:tcW w:w="402" w:type="dxa"/>
            <w:vAlign w:val="center"/>
          </w:tcPr>
          <w:p>
            <w:pPr>
              <w:snapToGrid w:val="0"/>
              <w:ind w:left="-5" w:firstLine="3" w:firstLineChars="2"/>
              <w:jc w:val="center"/>
              <w:rPr>
                <w:rFonts w:hint="eastAsia"/>
                <w:sz w:val="18"/>
                <w:szCs w:val="18"/>
              </w:rPr>
            </w:pPr>
            <w:r>
              <w:rPr>
                <w:rFonts w:hint="eastAsia"/>
                <w:sz w:val="18"/>
                <w:szCs w:val="18"/>
              </w:rPr>
              <w:t>3</w:t>
            </w:r>
          </w:p>
        </w:tc>
        <w:tc>
          <w:tcPr>
            <w:tcW w:w="380" w:type="dxa"/>
            <w:vAlign w:val="center"/>
          </w:tcPr>
          <w:p>
            <w:pPr>
              <w:snapToGrid w:val="0"/>
              <w:ind w:left="-5" w:firstLine="3" w:firstLineChars="2"/>
              <w:jc w:val="center"/>
              <w:rPr>
                <w:sz w:val="18"/>
                <w:szCs w:val="18"/>
              </w:rPr>
            </w:pPr>
          </w:p>
        </w:tc>
        <w:tc>
          <w:tcPr>
            <w:tcW w:w="380" w:type="dxa"/>
            <w:vAlign w:val="center"/>
          </w:tcPr>
          <w:p>
            <w:pPr>
              <w:snapToGrid w:val="0"/>
              <w:ind w:left="-5" w:firstLine="3" w:firstLineChars="2"/>
              <w:jc w:val="center"/>
              <w:rPr>
                <w:sz w:val="18"/>
                <w:szCs w:val="18"/>
              </w:rPr>
            </w:pPr>
          </w:p>
        </w:tc>
        <w:tc>
          <w:tcPr>
            <w:tcW w:w="380" w:type="dxa"/>
            <w:tcBorders>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302" w:type="dxa"/>
            <w:vMerge w:val="continue"/>
            <w:tcBorders>
              <w:right w:val="single" w:color="auto" w:sz="6" w:space="0"/>
            </w:tcBorders>
            <w:vAlign w:val="center"/>
          </w:tcPr>
          <w:p>
            <w:pPr>
              <w:snapToGrid w:val="0"/>
              <w:jc w:val="center"/>
              <w:rPr>
                <w:rFonts w:hint="eastAsia"/>
                <w:b/>
                <w:sz w:val="18"/>
                <w:szCs w:val="18"/>
              </w:rPr>
            </w:pPr>
          </w:p>
        </w:tc>
        <w:tc>
          <w:tcPr>
            <w:tcW w:w="450" w:type="dxa"/>
            <w:vMerge w:val="continue"/>
            <w:tcBorders>
              <w:left w:val="single" w:color="auto" w:sz="6" w:space="0"/>
              <w:right w:val="single" w:color="auto" w:sz="4" w:space="0"/>
            </w:tcBorders>
            <w:vAlign w:val="center"/>
          </w:tcPr>
          <w:p>
            <w:pPr>
              <w:snapToGrid w:val="0"/>
              <w:jc w:val="center"/>
              <w:rPr>
                <w:rFonts w:hint="eastAsia"/>
                <w:b/>
                <w:sz w:val="18"/>
                <w:szCs w:val="18"/>
              </w:rPr>
            </w:pPr>
          </w:p>
        </w:tc>
        <w:tc>
          <w:tcPr>
            <w:tcW w:w="3213" w:type="dxa"/>
            <w:gridSpan w:val="2"/>
            <w:tcBorders>
              <w:left w:val="single" w:color="auto" w:sz="4" w:space="0"/>
              <w:bottom w:val="single" w:color="auto" w:sz="4" w:space="0"/>
            </w:tcBorders>
            <w:vAlign w:val="center"/>
          </w:tcPr>
          <w:p>
            <w:pPr>
              <w:snapToGrid w:val="0"/>
              <w:jc w:val="center"/>
              <w:rPr>
                <w:rFonts w:hint="eastAsia"/>
                <w:b/>
                <w:sz w:val="18"/>
                <w:szCs w:val="18"/>
              </w:rPr>
            </w:pPr>
            <w:r>
              <w:rPr>
                <w:rFonts w:hint="eastAsia"/>
                <w:b/>
                <w:sz w:val="18"/>
                <w:szCs w:val="18"/>
              </w:rPr>
              <w:t>小 计</w:t>
            </w:r>
          </w:p>
        </w:tc>
        <w:tc>
          <w:tcPr>
            <w:tcW w:w="504" w:type="dxa"/>
            <w:tcBorders>
              <w:top w:val="nil"/>
              <w:left w:val="nil"/>
              <w:bottom w:val="single" w:color="auto" w:sz="4" w:space="0"/>
              <w:right w:val="nil"/>
            </w:tcBorders>
            <w:vAlign w:val="bottom"/>
          </w:tcPr>
          <w:p>
            <w:pPr>
              <w:widowControl/>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232</w:t>
            </w:r>
          </w:p>
        </w:tc>
        <w:tc>
          <w:tcPr>
            <w:tcW w:w="494" w:type="dxa"/>
            <w:tcBorders>
              <w:top w:val="nil"/>
              <w:left w:val="nil"/>
              <w:bottom w:val="single" w:color="auto" w:sz="4" w:space="0"/>
              <w:right w:val="nil"/>
            </w:tcBorders>
            <w:vAlign w:val="bottom"/>
          </w:tcPr>
          <w:p>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174</w:t>
            </w:r>
          </w:p>
        </w:tc>
        <w:tc>
          <w:tcPr>
            <w:tcW w:w="459" w:type="dxa"/>
            <w:tcBorders>
              <w:top w:val="nil"/>
              <w:left w:val="nil"/>
              <w:bottom w:val="single" w:color="auto" w:sz="4" w:space="0"/>
              <w:right w:val="nil"/>
            </w:tcBorders>
            <w:vAlign w:val="bottom"/>
          </w:tcPr>
          <w:p>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58</w:t>
            </w:r>
          </w:p>
        </w:tc>
        <w:tc>
          <w:tcPr>
            <w:tcW w:w="527" w:type="dxa"/>
            <w:tcBorders>
              <w:top w:val="nil"/>
              <w:left w:val="nil"/>
              <w:bottom w:val="single" w:color="auto" w:sz="4" w:space="0"/>
              <w:right w:val="nil"/>
            </w:tcBorders>
            <w:vAlign w:val="bottom"/>
          </w:tcPr>
          <w:p>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rPr>
              <w:t>1</w:t>
            </w:r>
            <w:r>
              <w:rPr>
                <w:rFonts w:hint="eastAsia" w:ascii="等线" w:hAnsi="等线" w:eastAsia="等线"/>
                <w:b/>
                <w:color w:val="000000"/>
                <w:sz w:val="18"/>
                <w:szCs w:val="18"/>
                <w:lang w:val="en-US" w:eastAsia="zh-CN"/>
              </w:rPr>
              <w:t>4.5</w:t>
            </w:r>
          </w:p>
        </w:tc>
        <w:tc>
          <w:tcPr>
            <w:tcW w:w="422" w:type="dxa"/>
            <w:tcBorders>
              <w:top w:val="nil"/>
              <w:left w:val="nil"/>
              <w:bottom w:val="single" w:color="auto" w:sz="4" w:space="0"/>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0</w:t>
            </w:r>
          </w:p>
        </w:tc>
        <w:tc>
          <w:tcPr>
            <w:tcW w:w="380" w:type="dxa"/>
            <w:tcBorders>
              <w:top w:val="nil"/>
              <w:left w:val="nil"/>
              <w:bottom w:val="single" w:color="auto" w:sz="4" w:space="0"/>
              <w:right w:val="nil"/>
            </w:tcBorders>
            <w:vAlign w:val="bottom"/>
          </w:tcPr>
          <w:p>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lang w:val="en-US" w:eastAsia="zh-CN"/>
              </w:rPr>
              <w:t>0</w:t>
            </w:r>
          </w:p>
        </w:tc>
        <w:tc>
          <w:tcPr>
            <w:tcW w:w="402" w:type="dxa"/>
            <w:tcBorders>
              <w:top w:val="nil"/>
              <w:left w:val="nil"/>
              <w:bottom w:val="single" w:color="auto" w:sz="4" w:space="0"/>
              <w:right w:val="nil"/>
            </w:tcBorders>
            <w:vAlign w:val="bottom"/>
          </w:tcPr>
          <w:p>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lang w:val="en-US" w:eastAsia="zh-CN"/>
              </w:rPr>
              <w:t>9</w:t>
            </w:r>
          </w:p>
        </w:tc>
        <w:tc>
          <w:tcPr>
            <w:tcW w:w="380" w:type="dxa"/>
            <w:tcBorders>
              <w:top w:val="nil"/>
              <w:left w:val="nil"/>
              <w:bottom w:val="single" w:color="auto" w:sz="4" w:space="0"/>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6</w:t>
            </w:r>
          </w:p>
        </w:tc>
        <w:tc>
          <w:tcPr>
            <w:tcW w:w="380" w:type="dxa"/>
            <w:tcBorders>
              <w:bottom w:val="single" w:color="auto" w:sz="4" w:space="0"/>
            </w:tcBorders>
            <w:vAlign w:val="center"/>
          </w:tcPr>
          <w:p>
            <w:pPr>
              <w:snapToGrid w:val="0"/>
              <w:ind w:left="-5" w:firstLine="3" w:firstLineChars="2"/>
              <w:jc w:val="center"/>
              <w:rPr>
                <w:sz w:val="18"/>
                <w:szCs w:val="18"/>
              </w:rPr>
            </w:pPr>
          </w:p>
        </w:tc>
        <w:tc>
          <w:tcPr>
            <w:tcW w:w="380" w:type="dxa"/>
            <w:tcBorders>
              <w:bottom w:val="single" w:color="auto" w:sz="4" w:space="0"/>
              <w:right w:val="single" w:color="auto" w:sz="4" w:space="0"/>
            </w:tcBorders>
            <w:vAlign w:val="center"/>
          </w:tcPr>
          <w:p>
            <w:pPr>
              <w:snapToGrid w:val="0"/>
              <w:ind w:left="-5" w:firstLine="3" w:firstLineChars="2"/>
              <w:jc w:val="center"/>
              <w:rPr>
                <w:sz w:val="18"/>
                <w:szCs w:val="18"/>
              </w:rPr>
            </w:pPr>
          </w:p>
        </w:tc>
        <w:tc>
          <w:tcPr>
            <w:tcW w:w="446" w:type="dxa"/>
            <w:gridSpan w:val="2"/>
            <w:tcBorders>
              <w:left w:val="single" w:color="auto" w:sz="4" w:space="0"/>
              <w:bottom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shd w:val="clear" w:color="auto" w:fill="auto"/>
            <w:vAlign w:val="center"/>
          </w:tcPr>
          <w:p>
            <w:pPr>
              <w:snapToGrid w:val="0"/>
              <w:ind w:left="-5" w:firstLine="4" w:firstLineChars="2"/>
              <w:jc w:val="center"/>
              <w:rPr>
                <w:rFonts w:hint="eastAsia"/>
                <w:b/>
                <w:sz w:val="18"/>
                <w:szCs w:val="18"/>
              </w:rPr>
            </w:pPr>
            <w:bookmarkStart w:id="12" w:name="_Hlk39667087"/>
          </w:p>
        </w:tc>
        <w:tc>
          <w:tcPr>
            <w:tcW w:w="752" w:type="dxa"/>
            <w:gridSpan w:val="2"/>
            <w:vMerge w:val="restart"/>
            <w:tcBorders>
              <w:right w:val="single" w:color="auto" w:sz="4" w:space="0"/>
            </w:tcBorders>
            <w:shd w:val="clear" w:color="auto" w:fill="auto"/>
            <w:vAlign w:val="center"/>
          </w:tcPr>
          <w:p>
            <w:pPr>
              <w:snapToGrid w:val="0"/>
              <w:ind w:left="-5" w:firstLine="4" w:firstLineChars="2"/>
              <w:jc w:val="center"/>
              <w:rPr>
                <w:rFonts w:hint="eastAsia" w:eastAsia="宋体"/>
                <w:b/>
                <w:sz w:val="18"/>
                <w:szCs w:val="18"/>
                <w:lang w:eastAsia="zh-CN"/>
              </w:rPr>
            </w:pPr>
            <w:r>
              <w:rPr>
                <w:rFonts w:hint="eastAsia"/>
                <w:b/>
                <w:sz w:val="18"/>
                <w:szCs w:val="18"/>
                <w:lang w:eastAsia="zh-CN"/>
              </w:rPr>
              <w:t>专业选修课</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C072045</w:t>
            </w: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right="57"/>
              <w:jc w:val="left"/>
              <w:rPr>
                <w:sz w:val="18"/>
                <w:szCs w:val="18"/>
              </w:rPr>
            </w:pPr>
            <w:r>
              <w:rPr>
                <w:rFonts w:hint="eastAsia"/>
                <w:sz w:val="18"/>
                <w:szCs w:val="18"/>
              </w:rPr>
              <w:t>公共关系基础</w:t>
            </w:r>
          </w:p>
        </w:tc>
        <w:tc>
          <w:tcPr>
            <w:tcW w:w="5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default" w:eastAsia="宋体"/>
                <w:sz w:val="18"/>
                <w:szCs w:val="18"/>
                <w:lang w:val="en-US" w:eastAsia="zh-CN"/>
              </w:rPr>
            </w:pPr>
            <w:r>
              <w:rPr>
                <w:rFonts w:hint="eastAsia"/>
                <w:sz w:val="18"/>
                <w:szCs w:val="18"/>
                <w:lang w:val="en-US" w:eastAsia="zh-CN"/>
              </w:rPr>
              <w:t>40</w:t>
            </w:r>
          </w:p>
        </w:tc>
        <w:tc>
          <w:tcPr>
            <w:tcW w:w="4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default" w:eastAsia="宋体"/>
                <w:sz w:val="18"/>
                <w:szCs w:val="18"/>
                <w:lang w:val="en-US" w:eastAsia="zh-CN"/>
              </w:rPr>
            </w:pPr>
            <w:r>
              <w:rPr>
                <w:rFonts w:hint="eastAsia"/>
                <w:sz w:val="18"/>
                <w:szCs w:val="18"/>
                <w:lang w:val="en-US" w:eastAsia="zh-CN"/>
              </w:rPr>
              <w:t>30</w:t>
            </w:r>
          </w:p>
        </w:tc>
        <w:tc>
          <w:tcPr>
            <w:tcW w:w="4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default" w:eastAsia="宋体"/>
                <w:sz w:val="18"/>
                <w:szCs w:val="18"/>
                <w:lang w:val="en-US" w:eastAsia="zh-CN"/>
              </w:rPr>
            </w:pPr>
            <w:r>
              <w:rPr>
                <w:rFonts w:hint="eastAsia"/>
                <w:sz w:val="18"/>
                <w:szCs w:val="18"/>
                <w:lang w:val="en-US" w:eastAsia="zh-CN"/>
              </w:rPr>
              <w:t>10</w:t>
            </w:r>
          </w:p>
        </w:tc>
        <w:tc>
          <w:tcPr>
            <w:tcW w:w="52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default" w:eastAsia="宋体"/>
                <w:sz w:val="18"/>
                <w:szCs w:val="18"/>
                <w:lang w:val="en-US" w:eastAsia="zh-CN"/>
              </w:rPr>
            </w:pPr>
            <w:r>
              <w:rPr>
                <w:sz w:val="18"/>
                <w:szCs w:val="18"/>
              </w:rPr>
              <w:t>2</w:t>
            </w:r>
            <w:r>
              <w:rPr>
                <w:rFonts w:hint="eastAsia"/>
                <w:sz w:val="18"/>
                <w:szCs w:val="18"/>
                <w:lang w:val="en-US" w:eastAsia="zh-CN"/>
              </w:rPr>
              <w:t>.5</w:t>
            </w:r>
          </w:p>
        </w:tc>
        <w:tc>
          <w:tcPr>
            <w:tcW w:w="422"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402"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3</w:t>
            </w: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446" w:type="dxa"/>
            <w:gridSpan w:val="2"/>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r>
      <w:bookmarkEnd w:id="12"/>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shd w:val="clear" w:color="auto" w:fill="auto"/>
            <w:vAlign w:val="center"/>
          </w:tcPr>
          <w:p>
            <w:pPr>
              <w:snapToGrid w:val="0"/>
              <w:ind w:left="-5" w:firstLine="4" w:firstLineChars="2"/>
              <w:jc w:val="center"/>
              <w:rPr>
                <w:rFonts w:hint="eastAsia"/>
                <w:b/>
                <w:sz w:val="18"/>
                <w:szCs w:val="18"/>
              </w:rPr>
            </w:pPr>
          </w:p>
        </w:tc>
        <w:tc>
          <w:tcPr>
            <w:tcW w:w="75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C072179</w:t>
            </w: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right="57"/>
              <w:jc w:val="left"/>
              <w:rPr>
                <w:sz w:val="18"/>
                <w:szCs w:val="18"/>
              </w:rPr>
            </w:pPr>
            <w:r>
              <w:rPr>
                <w:rFonts w:hint="eastAsia"/>
                <w:sz w:val="18"/>
                <w:szCs w:val="18"/>
              </w:rPr>
              <w:t>远洋运输业务</w:t>
            </w:r>
          </w:p>
        </w:tc>
        <w:tc>
          <w:tcPr>
            <w:tcW w:w="5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eastAsia="宋体"/>
                <w:sz w:val="18"/>
                <w:szCs w:val="18"/>
                <w:lang w:eastAsia="zh-CN"/>
              </w:rPr>
            </w:pPr>
            <w:r>
              <w:rPr>
                <w:sz w:val="18"/>
                <w:szCs w:val="18"/>
              </w:rPr>
              <w:t>4</w:t>
            </w:r>
            <w:r>
              <w:rPr>
                <w:rFonts w:hint="eastAsia"/>
                <w:sz w:val="18"/>
                <w:szCs w:val="18"/>
                <w:lang w:val="en-US" w:eastAsia="zh-CN"/>
              </w:rPr>
              <w:t>0</w:t>
            </w:r>
          </w:p>
        </w:tc>
        <w:tc>
          <w:tcPr>
            <w:tcW w:w="4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default" w:eastAsia="宋体"/>
                <w:sz w:val="18"/>
                <w:szCs w:val="18"/>
                <w:lang w:val="en-US" w:eastAsia="zh-CN"/>
              </w:rPr>
            </w:pPr>
            <w:r>
              <w:rPr>
                <w:rFonts w:hint="eastAsia"/>
                <w:sz w:val="18"/>
                <w:szCs w:val="18"/>
                <w:lang w:val="en-US" w:eastAsia="zh-CN"/>
              </w:rPr>
              <w:t>30</w:t>
            </w:r>
          </w:p>
        </w:tc>
        <w:tc>
          <w:tcPr>
            <w:tcW w:w="4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default" w:eastAsia="宋体"/>
                <w:sz w:val="18"/>
                <w:szCs w:val="18"/>
                <w:lang w:val="en-US" w:eastAsia="zh-CN"/>
              </w:rPr>
            </w:pPr>
            <w:r>
              <w:rPr>
                <w:rFonts w:hint="eastAsia"/>
                <w:sz w:val="18"/>
                <w:szCs w:val="18"/>
                <w:lang w:val="en-US" w:eastAsia="zh-CN"/>
              </w:rPr>
              <w:t>10</w:t>
            </w:r>
          </w:p>
        </w:tc>
        <w:tc>
          <w:tcPr>
            <w:tcW w:w="52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default" w:eastAsia="宋体"/>
                <w:sz w:val="18"/>
                <w:szCs w:val="18"/>
                <w:lang w:val="en-US" w:eastAsia="zh-CN"/>
              </w:rPr>
            </w:pPr>
            <w:r>
              <w:rPr>
                <w:rFonts w:hint="eastAsia"/>
                <w:sz w:val="18"/>
                <w:szCs w:val="18"/>
                <w:lang w:val="en-US" w:eastAsia="zh-CN"/>
              </w:rPr>
              <w:t>2.5</w:t>
            </w:r>
          </w:p>
        </w:tc>
        <w:tc>
          <w:tcPr>
            <w:tcW w:w="422"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402"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3</w:t>
            </w: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446" w:type="dxa"/>
            <w:gridSpan w:val="2"/>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shd w:val="clear" w:color="auto" w:fill="auto"/>
            <w:vAlign w:val="center"/>
          </w:tcPr>
          <w:p>
            <w:pPr>
              <w:snapToGrid w:val="0"/>
              <w:ind w:left="-5" w:firstLine="4" w:firstLineChars="2"/>
              <w:jc w:val="center"/>
              <w:rPr>
                <w:rFonts w:hint="eastAsia"/>
                <w:b/>
                <w:sz w:val="18"/>
                <w:szCs w:val="18"/>
              </w:rPr>
            </w:pPr>
          </w:p>
        </w:tc>
        <w:tc>
          <w:tcPr>
            <w:tcW w:w="75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C072057</w:t>
            </w: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right="57"/>
              <w:jc w:val="left"/>
              <w:rPr>
                <w:rFonts w:hint="eastAsia" w:eastAsia="宋体"/>
                <w:sz w:val="18"/>
                <w:szCs w:val="18"/>
                <w:lang w:eastAsia="zh-CN"/>
              </w:rPr>
            </w:pPr>
            <w:r>
              <w:rPr>
                <w:rFonts w:hint="eastAsia"/>
                <w:sz w:val="18"/>
                <w:szCs w:val="18"/>
              </w:rPr>
              <w:t>国际贸易</w:t>
            </w:r>
            <w:r>
              <w:rPr>
                <w:rFonts w:hint="eastAsia"/>
                <w:sz w:val="18"/>
                <w:szCs w:val="18"/>
                <w:lang w:eastAsia="zh-CN"/>
              </w:rPr>
              <w:t>实务</w:t>
            </w:r>
          </w:p>
        </w:tc>
        <w:tc>
          <w:tcPr>
            <w:tcW w:w="5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40</w:t>
            </w:r>
          </w:p>
        </w:tc>
        <w:tc>
          <w:tcPr>
            <w:tcW w:w="4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30</w:t>
            </w:r>
          </w:p>
        </w:tc>
        <w:tc>
          <w:tcPr>
            <w:tcW w:w="4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10</w:t>
            </w:r>
          </w:p>
        </w:tc>
        <w:tc>
          <w:tcPr>
            <w:tcW w:w="52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2.5</w:t>
            </w:r>
          </w:p>
        </w:tc>
        <w:tc>
          <w:tcPr>
            <w:tcW w:w="422"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402"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eastAsia="宋体"/>
                <w:sz w:val="18"/>
                <w:szCs w:val="18"/>
                <w:lang w:val="en-US" w:eastAsia="zh-CN"/>
              </w:rPr>
            </w:pPr>
            <w:r>
              <w:rPr>
                <w:rFonts w:hint="eastAsia"/>
                <w:sz w:val="18"/>
                <w:szCs w:val="18"/>
                <w:lang w:val="en-US" w:eastAsia="zh-CN"/>
              </w:rPr>
              <w:t>3</w:t>
            </w: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446" w:type="dxa"/>
            <w:gridSpan w:val="2"/>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shd w:val="clear" w:color="auto" w:fill="auto"/>
            <w:vAlign w:val="center"/>
          </w:tcPr>
          <w:p>
            <w:pPr>
              <w:snapToGrid w:val="0"/>
              <w:ind w:left="-5" w:firstLine="4" w:firstLineChars="2"/>
              <w:jc w:val="center"/>
              <w:rPr>
                <w:rFonts w:hint="eastAsia"/>
                <w:b/>
                <w:sz w:val="18"/>
                <w:szCs w:val="18"/>
              </w:rPr>
            </w:pPr>
          </w:p>
        </w:tc>
        <w:tc>
          <w:tcPr>
            <w:tcW w:w="75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C072134</w:t>
            </w: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right="57"/>
              <w:jc w:val="left"/>
              <w:rPr>
                <w:sz w:val="18"/>
                <w:szCs w:val="18"/>
              </w:rPr>
            </w:pPr>
            <w:r>
              <w:rPr>
                <w:rFonts w:hint="eastAsia"/>
                <w:sz w:val="18"/>
                <w:szCs w:val="18"/>
              </w:rPr>
              <w:t>市场调查与预测</w:t>
            </w:r>
          </w:p>
        </w:tc>
        <w:tc>
          <w:tcPr>
            <w:tcW w:w="5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32</w:t>
            </w:r>
          </w:p>
        </w:tc>
        <w:tc>
          <w:tcPr>
            <w:tcW w:w="4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20</w:t>
            </w:r>
          </w:p>
        </w:tc>
        <w:tc>
          <w:tcPr>
            <w:tcW w:w="4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12</w:t>
            </w:r>
          </w:p>
        </w:tc>
        <w:tc>
          <w:tcPr>
            <w:tcW w:w="52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2</w:t>
            </w:r>
          </w:p>
        </w:tc>
        <w:tc>
          <w:tcPr>
            <w:tcW w:w="422"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402"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eastAsia="宋体"/>
                <w:sz w:val="18"/>
                <w:szCs w:val="18"/>
                <w:lang w:val="en-US" w:eastAsia="zh-CN"/>
              </w:rPr>
            </w:pPr>
            <w:r>
              <w:rPr>
                <w:rFonts w:hint="eastAsia"/>
                <w:sz w:val="18"/>
                <w:szCs w:val="18"/>
                <w:lang w:val="en-US" w:eastAsia="zh-CN"/>
              </w:rPr>
              <w:t>3</w:t>
            </w: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446" w:type="dxa"/>
            <w:gridSpan w:val="2"/>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shd w:val="clear" w:color="auto" w:fill="auto"/>
            <w:vAlign w:val="center"/>
          </w:tcPr>
          <w:p>
            <w:pPr>
              <w:snapToGrid w:val="0"/>
              <w:ind w:left="-5" w:firstLine="4" w:firstLineChars="2"/>
              <w:jc w:val="center"/>
              <w:rPr>
                <w:rFonts w:hint="eastAsia"/>
                <w:b/>
                <w:sz w:val="18"/>
                <w:szCs w:val="18"/>
              </w:rPr>
            </w:pPr>
          </w:p>
        </w:tc>
        <w:tc>
          <w:tcPr>
            <w:tcW w:w="75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C072006</w:t>
            </w: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right="57"/>
              <w:jc w:val="left"/>
              <w:rPr>
                <w:sz w:val="18"/>
                <w:szCs w:val="18"/>
              </w:rPr>
            </w:pPr>
            <w:r>
              <w:rPr>
                <w:rFonts w:hint="eastAsia"/>
                <w:sz w:val="18"/>
                <w:szCs w:val="18"/>
              </w:rPr>
              <w:t>采购管理实务</w:t>
            </w:r>
          </w:p>
        </w:tc>
        <w:tc>
          <w:tcPr>
            <w:tcW w:w="5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40</w:t>
            </w:r>
          </w:p>
        </w:tc>
        <w:tc>
          <w:tcPr>
            <w:tcW w:w="4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30</w:t>
            </w:r>
          </w:p>
        </w:tc>
        <w:tc>
          <w:tcPr>
            <w:tcW w:w="4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10</w:t>
            </w:r>
          </w:p>
        </w:tc>
        <w:tc>
          <w:tcPr>
            <w:tcW w:w="52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2.5</w:t>
            </w:r>
          </w:p>
        </w:tc>
        <w:tc>
          <w:tcPr>
            <w:tcW w:w="422"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402"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3</w:t>
            </w: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446" w:type="dxa"/>
            <w:gridSpan w:val="2"/>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shd w:val="clear" w:color="auto" w:fill="auto"/>
            <w:vAlign w:val="center"/>
          </w:tcPr>
          <w:p>
            <w:pPr>
              <w:snapToGrid w:val="0"/>
              <w:ind w:left="-5" w:firstLine="4" w:firstLineChars="2"/>
              <w:jc w:val="center"/>
              <w:rPr>
                <w:rFonts w:hint="eastAsia"/>
                <w:b/>
                <w:sz w:val="18"/>
                <w:szCs w:val="18"/>
              </w:rPr>
            </w:pPr>
          </w:p>
        </w:tc>
        <w:tc>
          <w:tcPr>
            <w:tcW w:w="75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default" w:eastAsia="宋体"/>
                <w:sz w:val="18"/>
                <w:szCs w:val="18"/>
                <w:lang w:val="en-US" w:eastAsia="zh-CN"/>
              </w:rPr>
            </w:pPr>
            <w:r>
              <w:rPr>
                <w:sz w:val="18"/>
                <w:szCs w:val="18"/>
              </w:rPr>
              <w:t>C0721</w:t>
            </w:r>
            <w:r>
              <w:rPr>
                <w:rFonts w:hint="eastAsia"/>
                <w:sz w:val="18"/>
                <w:szCs w:val="18"/>
                <w:lang w:val="en-US" w:eastAsia="zh-CN"/>
              </w:rPr>
              <w:t>26</w:t>
            </w: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right="57"/>
              <w:jc w:val="left"/>
              <w:rPr>
                <w:rFonts w:hint="eastAsia" w:eastAsia="宋体"/>
                <w:sz w:val="18"/>
                <w:szCs w:val="18"/>
                <w:lang w:eastAsia="zh-CN"/>
              </w:rPr>
            </w:pPr>
            <w:r>
              <w:rPr>
                <w:rFonts w:hint="eastAsia"/>
                <w:sz w:val="18"/>
                <w:szCs w:val="18"/>
                <w:lang w:eastAsia="zh-CN"/>
              </w:rPr>
              <w:t>商务谈判</w:t>
            </w:r>
          </w:p>
        </w:tc>
        <w:tc>
          <w:tcPr>
            <w:tcW w:w="5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default" w:eastAsia="宋体"/>
                <w:sz w:val="18"/>
                <w:szCs w:val="18"/>
                <w:lang w:val="en-US" w:eastAsia="zh-CN"/>
              </w:rPr>
            </w:pPr>
            <w:r>
              <w:rPr>
                <w:rFonts w:hint="eastAsia"/>
                <w:sz w:val="18"/>
                <w:szCs w:val="18"/>
                <w:lang w:val="en-US" w:eastAsia="zh-CN"/>
              </w:rPr>
              <w:t>32</w:t>
            </w:r>
          </w:p>
        </w:tc>
        <w:tc>
          <w:tcPr>
            <w:tcW w:w="4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default" w:eastAsia="宋体"/>
                <w:sz w:val="18"/>
                <w:szCs w:val="18"/>
                <w:lang w:val="en-US" w:eastAsia="zh-CN"/>
              </w:rPr>
            </w:pPr>
            <w:r>
              <w:rPr>
                <w:rFonts w:hint="eastAsia"/>
                <w:sz w:val="18"/>
                <w:szCs w:val="18"/>
                <w:lang w:val="en-US" w:eastAsia="zh-CN"/>
              </w:rPr>
              <w:t>20</w:t>
            </w:r>
          </w:p>
        </w:tc>
        <w:tc>
          <w:tcPr>
            <w:tcW w:w="4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eastAsia="宋体"/>
                <w:sz w:val="18"/>
                <w:szCs w:val="18"/>
                <w:lang w:val="en-US" w:eastAsia="zh-CN"/>
              </w:rPr>
            </w:pPr>
            <w:r>
              <w:rPr>
                <w:sz w:val="18"/>
                <w:szCs w:val="18"/>
              </w:rPr>
              <w:t>1</w:t>
            </w:r>
            <w:r>
              <w:rPr>
                <w:rFonts w:hint="eastAsia"/>
                <w:sz w:val="18"/>
                <w:szCs w:val="18"/>
                <w:lang w:val="en-US" w:eastAsia="zh-CN"/>
              </w:rPr>
              <w:t>2</w:t>
            </w:r>
          </w:p>
        </w:tc>
        <w:tc>
          <w:tcPr>
            <w:tcW w:w="52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2</w:t>
            </w:r>
          </w:p>
        </w:tc>
        <w:tc>
          <w:tcPr>
            <w:tcW w:w="422"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402"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3</w:t>
            </w: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446" w:type="dxa"/>
            <w:gridSpan w:val="2"/>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50" w:hRule="atLeast"/>
          <w:jc w:val="center"/>
        </w:trPr>
        <w:tc>
          <w:tcPr>
            <w:tcW w:w="438" w:type="dxa"/>
            <w:vMerge w:val="continue"/>
            <w:shd w:val="clear" w:color="auto" w:fill="auto"/>
            <w:vAlign w:val="center"/>
          </w:tcPr>
          <w:p>
            <w:pPr>
              <w:snapToGrid w:val="0"/>
              <w:ind w:left="-5" w:firstLine="4" w:firstLineChars="2"/>
              <w:jc w:val="center"/>
              <w:rPr>
                <w:rFonts w:hint="eastAsia"/>
                <w:b/>
                <w:sz w:val="18"/>
                <w:szCs w:val="18"/>
              </w:rPr>
            </w:pPr>
          </w:p>
        </w:tc>
        <w:tc>
          <w:tcPr>
            <w:tcW w:w="75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line="260" w:lineRule="exact"/>
              <w:jc w:val="center"/>
              <w:rPr>
                <w:rFonts w:hint="eastAsia"/>
                <w:b w:val="0"/>
                <w:bCs w:val="0"/>
                <w:i w:val="0"/>
                <w:iCs w:val="0"/>
                <w:sz w:val="18"/>
                <w:szCs w:val="18"/>
                <w:lang w:val="en-US" w:eastAsia="zh-CN"/>
              </w:rPr>
            </w:pPr>
            <w:r>
              <w:rPr>
                <w:b w:val="0"/>
                <w:bCs w:val="0"/>
                <w:i w:val="0"/>
                <w:iCs w:val="0"/>
                <w:sz w:val="18"/>
                <w:szCs w:val="18"/>
              </w:rPr>
              <w:t>C072043</w:t>
            </w: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line="260" w:lineRule="exact"/>
              <w:rPr>
                <w:rFonts w:hint="eastAsia" w:eastAsia="宋体"/>
                <w:b w:val="0"/>
                <w:bCs w:val="0"/>
                <w:i w:val="0"/>
                <w:iCs w:val="0"/>
                <w:sz w:val="18"/>
                <w:szCs w:val="18"/>
                <w:lang w:eastAsia="zh-CN"/>
              </w:rPr>
            </w:pPr>
            <w:r>
              <w:rPr>
                <w:rFonts w:hint="eastAsia" w:hAnsi="宋体"/>
                <w:b w:val="0"/>
                <w:bCs w:val="0"/>
                <w:i w:val="0"/>
                <w:iCs w:val="0"/>
                <w:sz w:val="18"/>
                <w:szCs w:val="18"/>
                <w:lang w:eastAsia="zh-CN"/>
              </w:rPr>
              <w:t>港口生产管理</w:t>
            </w:r>
          </w:p>
        </w:tc>
        <w:tc>
          <w:tcPr>
            <w:tcW w:w="5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default"/>
                <w:b w:val="0"/>
                <w:bCs w:val="0"/>
                <w:i w:val="0"/>
                <w:iCs w:val="0"/>
                <w:sz w:val="18"/>
                <w:szCs w:val="18"/>
                <w:lang w:val="en-US" w:eastAsia="zh-CN"/>
              </w:rPr>
            </w:pPr>
            <w:r>
              <w:rPr>
                <w:rFonts w:hint="eastAsia"/>
                <w:b w:val="0"/>
                <w:bCs w:val="0"/>
                <w:i w:val="0"/>
                <w:iCs w:val="0"/>
                <w:sz w:val="18"/>
                <w:szCs w:val="18"/>
                <w:lang w:val="en-US" w:eastAsia="zh-CN"/>
              </w:rPr>
              <w:t>40</w:t>
            </w:r>
          </w:p>
        </w:tc>
        <w:tc>
          <w:tcPr>
            <w:tcW w:w="4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default"/>
                <w:b w:val="0"/>
                <w:bCs w:val="0"/>
                <w:i w:val="0"/>
                <w:iCs w:val="0"/>
                <w:sz w:val="18"/>
                <w:szCs w:val="18"/>
                <w:lang w:val="en-US" w:eastAsia="zh-CN"/>
              </w:rPr>
            </w:pPr>
            <w:r>
              <w:rPr>
                <w:rFonts w:hint="eastAsia"/>
                <w:b w:val="0"/>
                <w:bCs w:val="0"/>
                <w:i w:val="0"/>
                <w:iCs w:val="0"/>
                <w:sz w:val="18"/>
                <w:szCs w:val="18"/>
                <w:lang w:val="en-US" w:eastAsia="zh-CN"/>
              </w:rPr>
              <w:t>30</w:t>
            </w:r>
          </w:p>
        </w:tc>
        <w:tc>
          <w:tcPr>
            <w:tcW w:w="4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default"/>
                <w:b w:val="0"/>
                <w:bCs w:val="0"/>
                <w:i w:val="0"/>
                <w:iCs w:val="0"/>
                <w:sz w:val="18"/>
                <w:szCs w:val="18"/>
                <w:lang w:val="en-US" w:eastAsia="zh-CN"/>
              </w:rPr>
            </w:pPr>
            <w:r>
              <w:rPr>
                <w:rFonts w:hint="eastAsia"/>
                <w:b w:val="0"/>
                <w:bCs w:val="0"/>
                <w:i w:val="0"/>
                <w:iCs w:val="0"/>
                <w:sz w:val="18"/>
                <w:szCs w:val="18"/>
                <w:lang w:val="en-US" w:eastAsia="zh-CN"/>
              </w:rPr>
              <w:t>10</w:t>
            </w:r>
          </w:p>
        </w:tc>
        <w:tc>
          <w:tcPr>
            <w:tcW w:w="52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eastAsia"/>
                <w:b w:val="0"/>
                <w:bCs w:val="0"/>
                <w:i w:val="0"/>
                <w:iCs w:val="0"/>
                <w:sz w:val="18"/>
                <w:szCs w:val="18"/>
                <w:lang w:val="en-US" w:eastAsia="zh-CN"/>
              </w:rPr>
            </w:pPr>
            <w:r>
              <w:rPr>
                <w:b w:val="0"/>
                <w:bCs w:val="0"/>
                <w:i w:val="0"/>
                <w:iCs w:val="0"/>
                <w:sz w:val="18"/>
                <w:szCs w:val="18"/>
              </w:rPr>
              <w:t>2.5</w:t>
            </w:r>
          </w:p>
        </w:tc>
        <w:tc>
          <w:tcPr>
            <w:tcW w:w="422"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b w:val="0"/>
                <w:bCs w:val="0"/>
                <w:i w:val="0"/>
                <w:iCs w:val="0"/>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b w:val="0"/>
                <w:bCs w:val="0"/>
                <w:i w:val="0"/>
                <w:iCs w:val="0"/>
                <w:sz w:val="18"/>
                <w:szCs w:val="18"/>
              </w:rPr>
            </w:pPr>
          </w:p>
        </w:tc>
        <w:tc>
          <w:tcPr>
            <w:tcW w:w="402"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eastAsia="宋体"/>
                <w:b w:val="0"/>
                <w:bCs w:val="0"/>
                <w:i w:val="0"/>
                <w:iCs w:val="0"/>
                <w:sz w:val="18"/>
                <w:szCs w:val="18"/>
                <w:lang w:val="en-US" w:eastAsia="zh-CN"/>
              </w:rPr>
            </w:pPr>
            <w:r>
              <w:rPr>
                <w:rFonts w:hint="eastAsia"/>
                <w:b w:val="0"/>
                <w:bCs w:val="0"/>
                <w:i w:val="0"/>
                <w:iCs w:val="0"/>
                <w:sz w:val="18"/>
                <w:szCs w:val="18"/>
                <w:lang w:val="en-US" w:eastAsia="zh-CN"/>
              </w:rPr>
              <w:t>3</w:t>
            </w: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default"/>
                <w:b w:val="0"/>
                <w:bCs w:val="0"/>
                <w:i w:val="0"/>
                <w:iCs w:val="0"/>
                <w:sz w:val="18"/>
                <w:szCs w:val="18"/>
                <w:lang w:val="en-US" w:eastAsia="zh-CN"/>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b w:val="0"/>
                <w:bCs w:val="0"/>
                <w:i w:val="0"/>
                <w:iCs w:val="0"/>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b w:val="0"/>
                <w:bCs w:val="0"/>
                <w:i w:val="0"/>
                <w:iCs w:val="0"/>
                <w:sz w:val="18"/>
                <w:szCs w:val="18"/>
              </w:rPr>
            </w:pPr>
          </w:p>
        </w:tc>
        <w:tc>
          <w:tcPr>
            <w:tcW w:w="446" w:type="dxa"/>
            <w:gridSpan w:val="2"/>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i/>
                <w:iCs/>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 w:hRule="atLeast"/>
          <w:jc w:val="center"/>
        </w:trPr>
        <w:tc>
          <w:tcPr>
            <w:tcW w:w="438" w:type="dxa"/>
            <w:vMerge w:val="continue"/>
            <w:shd w:val="clear" w:color="auto" w:fill="auto"/>
            <w:vAlign w:val="center"/>
          </w:tcPr>
          <w:p>
            <w:pPr>
              <w:snapToGrid w:val="0"/>
              <w:ind w:left="-5" w:firstLine="4" w:firstLineChars="2"/>
              <w:jc w:val="center"/>
              <w:rPr>
                <w:rFonts w:hint="eastAsia"/>
                <w:b/>
                <w:sz w:val="18"/>
                <w:szCs w:val="18"/>
              </w:rPr>
            </w:pPr>
          </w:p>
        </w:tc>
        <w:tc>
          <w:tcPr>
            <w:tcW w:w="75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default"/>
                <w:sz w:val="18"/>
                <w:szCs w:val="18"/>
                <w:lang w:val="en-US"/>
              </w:rPr>
            </w:pPr>
            <w:r>
              <w:rPr>
                <w:rFonts w:hint="eastAsia"/>
                <w:sz w:val="18"/>
                <w:szCs w:val="18"/>
                <w:lang w:val="en-US" w:eastAsia="zh-CN"/>
              </w:rPr>
              <w:t>C072121</w:t>
            </w: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leftChars="0" w:right="57" w:rightChars="0"/>
              <w:jc w:val="left"/>
              <w:rPr>
                <w:rFonts w:hint="eastAsia"/>
                <w:sz w:val="18"/>
                <w:szCs w:val="18"/>
                <w:lang w:eastAsia="zh-CN"/>
              </w:rPr>
            </w:pPr>
            <w:r>
              <w:rPr>
                <w:rFonts w:hint="eastAsia"/>
                <w:sz w:val="18"/>
                <w:szCs w:val="18"/>
                <w:lang w:eastAsia="zh-CN"/>
              </w:rPr>
              <w:t>人力资源管理</w:t>
            </w:r>
          </w:p>
        </w:tc>
        <w:tc>
          <w:tcPr>
            <w:tcW w:w="5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default" w:eastAsia="宋体"/>
                <w:sz w:val="18"/>
                <w:szCs w:val="18"/>
                <w:lang w:val="en-US" w:eastAsia="zh-CN"/>
              </w:rPr>
            </w:pPr>
            <w:r>
              <w:rPr>
                <w:rFonts w:hint="eastAsia"/>
                <w:sz w:val="18"/>
                <w:szCs w:val="18"/>
                <w:lang w:val="en-US" w:eastAsia="zh-CN"/>
              </w:rPr>
              <w:t>32</w:t>
            </w:r>
          </w:p>
        </w:tc>
        <w:tc>
          <w:tcPr>
            <w:tcW w:w="4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default" w:eastAsia="宋体"/>
                <w:sz w:val="18"/>
                <w:szCs w:val="18"/>
                <w:lang w:val="en-US" w:eastAsia="zh-CN"/>
              </w:rPr>
            </w:pPr>
            <w:r>
              <w:rPr>
                <w:rFonts w:hint="eastAsia"/>
                <w:sz w:val="18"/>
                <w:szCs w:val="18"/>
                <w:lang w:val="en-US" w:eastAsia="zh-CN"/>
              </w:rPr>
              <w:t>20</w:t>
            </w:r>
          </w:p>
        </w:tc>
        <w:tc>
          <w:tcPr>
            <w:tcW w:w="4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default"/>
                <w:sz w:val="18"/>
                <w:szCs w:val="18"/>
                <w:lang w:val="en-US"/>
              </w:rPr>
            </w:pPr>
            <w:r>
              <w:rPr>
                <w:rFonts w:hint="eastAsia"/>
                <w:sz w:val="18"/>
                <w:szCs w:val="18"/>
                <w:lang w:val="en-US" w:eastAsia="zh-CN"/>
              </w:rPr>
              <w:t>12</w:t>
            </w:r>
          </w:p>
        </w:tc>
        <w:tc>
          <w:tcPr>
            <w:tcW w:w="52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default"/>
                <w:sz w:val="18"/>
                <w:szCs w:val="18"/>
                <w:lang w:val="en-US"/>
              </w:rPr>
            </w:pPr>
            <w:r>
              <w:rPr>
                <w:rFonts w:hint="eastAsia"/>
                <w:sz w:val="18"/>
                <w:szCs w:val="18"/>
                <w:lang w:val="en-US" w:eastAsia="zh-CN"/>
              </w:rPr>
              <w:t>2</w:t>
            </w:r>
          </w:p>
        </w:tc>
        <w:tc>
          <w:tcPr>
            <w:tcW w:w="422"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sz w:val="18"/>
                <w:szCs w:val="18"/>
              </w:rPr>
            </w:pPr>
          </w:p>
        </w:tc>
        <w:tc>
          <w:tcPr>
            <w:tcW w:w="402"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r>
              <w:rPr>
                <w:rFonts w:hint="eastAsia"/>
                <w:sz w:val="18"/>
                <w:szCs w:val="18"/>
                <w:lang w:val="en-US" w:eastAsia="zh-CN"/>
              </w:rPr>
              <w:t>3</w:t>
            </w: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p>
        </w:tc>
        <w:tc>
          <w:tcPr>
            <w:tcW w:w="446" w:type="dxa"/>
            <w:gridSpan w:val="2"/>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shd w:val="clear" w:color="auto" w:fill="auto"/>
            <w:vAlign w:val="center"/>
          </w:tcPr>
          <w:p>
            <w:pPr>
              <w:snapToGrid w:val="0"/>
              <w:ind w:left="-5" w:firstLine="4" w:firstLineChars="2"/>
              <w:jc w:val="center"/>
              <w:rPr>
                <w:rFonts w:hint="eastAsia"/>
                <w:b/>
                <w:sz w:val="18"/>
                <w:szCs w:val="18"/>
              </w:rPr>
            </w:pPr>
          </w:p>
        </w:tc>
        <w:tc>
          <w:tcPr>
            <w:tcW w:w="75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rFonts w:hint="eastAsia"/>
                <w:sz w:val="18"/>
                <w:szCs w:val="18"/>
                <w:lang w:val="en-US" w:eastAsia="zh-CN"/>
              </w:rPr>
              <w:t>C072120</w:t>
            </w: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leftChars="0" w:right="57" w:rightChars="0"/>
              <w:jc w:val="left"/>
              <w:rPr>
                <w:rFonts w:hint="eastAsia"/>
                <w:sz w:val="18"/>
                <w:szCs w:val="18"/>
                <w:lang w:eastAsia="zh-CN"/>
              </w:rPr>
            </w:pPr>
            <w:r>
              <w:rPr>
                <w:rFonts w:hint="eastAsia"/>
                <w:sz w:val="18"/>
                <w:szCs w:val="18"/>
                <w:lang w:eastAsia="zh-CN"/>
              </w:rPr>
              <w:t>人际交往与沟通技巧</w:t>
            </w:r>
          </w:p>
        </w:tc>
        <w:tc>
          <w:tcPr>
            <w:tcW w:w="5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rFonts w:hint="eastAsia"/>
                <w:sz w:val="18"/>
                <w:szCs w:val="18"/>
                <w:lang w:val="en-US" w:eastAsia="zh-CN"/>
              </w:rPr>
              <w:t>32</w:t>
            </w:r>
          </w:p>
        </w:tc>
        <w:tc>
          <w:tcPr>
            <w:tcW w:w="4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rFonts w:hint="eastAsia"/>
                <w:sz w:val="18"/>
                <w:szCs w:val="18"/>
                <w:lang w:val="en-US" w:eastAsia="zh-CN"/>
              </w:rPr>
              <w:t>20</w:t>
            </w:r>
          </w:p>
        </w:tc>
        <w:tc>
          <w:tcPr>
            <w:tcW w:w="4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rFonts w:hint="eastAsia"/>
                <w:sz w:val="18"/>
                <w:szCs w:val="18"/>
                <w:lang w:val="en-US" w:eastAsia="zh-CN"/>
              </w:rPr>
              <w:t>12</w:t>
            </w:r>
          </w:p>
        </w:tc>
        <w:tc>
          <w:tcPr>
            <w:tcW w:w="52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rFonts w:hint="eastAsia"/>
                <w:sz w:val="18"/>
                <w:szCs w:val="18"/>
                <w:lang w:val="en-US" w:eastAsia="zh-CN"/>
              </w:rPr>
              <w:t>2</w:t>
            </w:r>
          </w:p>
        </w:tc>
        <w:tc>
          <w:tcPr>
            <w:tcW w:w="422"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sz w:val="18"/>
                <w:szCs w:val="18"/>
              </w:rPr>
            </w:pPr>
          </w:p>
        </w:tc>
        <w:tc>
          <w:tcPr>
            <w:tcW w:w="402"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r>
              <w:rPr>
                <w:rFonts w:hint="eastAsia"/>
                <w:sz w:val="18"/>
                <w:szCs w:val="18"/>
                <w:lang w:val="en-US" w:eastAsia="zh-CN"/>
              </w:rPr>
              <w:t>3</w:t>
            </w: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p>
        </w:tc>
        <w:tc>
          <w:tcPr>
            <w:tcW w:w="446" w:type="dxa"/>
            <w:gridSpan w:val="2"/>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 w:hRule="atLeast"/>
          <w:jc w:val="center"/>
        </w:trPr>
        <w:tc>
          <w:tcPr>
            <w:tcW w:w="438" w:type="dxa"/>
            <w:vMerge w:val="continue"/>
            <w:shd w:val="clear" w:color="auto" w:fill="auto"/>
            <w:vAlign w:val="center"/>
          </w:tcPr>
          <w:p>
            <w:pPr>
              <w:snapToGrid w:val="0"/>
              <w:ind w:left="-5" w:firstLine="4" w:firstLineChars="2"/>
              <w:jc w:val="center"/>
              <w:rPr>
                <w:rFonts w:hint="eastAsia"/>
                <w:b/>
                <w:sz w:val="18"/>
                <w:szCs w:val="18"/>
              </w:rPr>
            </w:pPr>
          </w:p>
        </w:tc>
        <w:tc>
          <w:tcPr>
            <w:tcW w:w="75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default" w:eastAsia="宋体"/>
                <w:sz w:val="18"/>
                <w:szCs w:val="18"/>
                <w:lang w:val="en-US" w:eastAsia="zh-CN"/>
              </w:rPr>
            </w:pPr>
            <w:r>
              <w:rPr>
                <w:sz w:val="18"/>
                <w:szCs w:val="18"/>
              </w:rPr>
              <w:t>C072</w:t>
            </w:r>
            <w:r>
              <w:rPr>
                <w:rFonts w:hint="eastAsia"/>
                <w:sz w:val="18"/>
                <w:szCs w:val="18"/>
                <w:lang w:val="en-US" w:eastAsia="zh-CN"/>
              </w:rPr>
              <w:t>322</w:t>
            </w: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right="57"/>
              <w:jc w:val="left"/>
              <w:rPr>
                <w:sz w:val="18"/>
                <w:szCs w:val="18"/>
              </w:rPr>
            </w:pPr>
            <w:r>
              <w:rPr>
                <w:rFonts w:hint="eastAsia"/>
                <w:sz w:val="18"/>
                <w:szCs w:val="18"/>
                <w:lang w:eastAsia="zh-CN"/>
              </w:rPr>
              <w:t>商务文书</w:t>
            </w:r>
            <w:r>
              <w:rPr>
                <w:rFonts w:hint="eastAsia"/>
                <w:sz w:val="18"/>
                <w:szCs w:val="18"/>
              </w:rPr>
              <w:t>写作</w:t>
            </w:r>
          </w:p>
        </w:tc>
        <w:tc>
          <w:tcPr>
            <w:tcW w:w="5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32</w:t>
            </w:r>
          </w:p>
        </w:tc>
        <w:tc>
          <w:tcPr>
            <w:tcW w:w="4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20</w:t>
            </w:r>
          </w:p>
        </w:tc>
        <w:tc>
          <w:tcPr>
            <w:tcW w:w="4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12</w:t>
            </w:r>
          </w:p>
        </w:tc>
        <w:tc>
          <w:tcPr>
            <w:tcW w:w="52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2</w:t>
            </w:r>
          </w:p>
        </w:tc>
        <w:tc>
          <w:tcPr>
            <w:tcW w:w="422"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402"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3</w:t>
            </w: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446" w:type="dxa"/>
            <w:gridSpan w:val="2"/>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38" w:type="dxa"/>
            <w:vMerge w:val="continue"/>
            <w:vAlign w:val="center"/>
          </w:tcPr>
          <w:p>
            <w:pPr>
              <w:snapToGrid w:val="0"/>
              <w:ind w:left="-5" w:firstLine="4" w:firstLineChars="2"/>
              <w:jc w:val="center"/>
              <w:rPr>
                <w:rFonts w:hint="eastAsia"/>
                <w:b/>
                <w:sz w:val="18"/>
                <w:szCs w:val="18"/>
              </w:rPr>
            </w:pPr>
          </w:p>
        </w:tc>
        <w:tc>
          <w:tcPr>
            <w:tcW w:w="752" w:type="dxa"/>
            <w:gridSpan w:val="2"/>
            <w:vMerge w:val="continue"/>
            <w:tcBorders>
              <w:right w:val="single" w:color="auto" w:sz="4" w:space="0"/>
            </w:tcBorders>
            <w:vAlign w:val="center"/>
          </w:tcPr>
          <w:p>
            <w:pPr>
              <w:snapToGrid w:val="0"/>
              <w:ind w:left="-5" w:firstLine="4" w:firstLineChars="2"/>
              <w:jc w:val="center"/>
              <w:rPr>
                <w:rFonts w:hint="eastAsia"/>
                <w:b/>
                <w:sz w:val="18"/>
                <w:szCs w:val="18"/>
              </w:rPr>
            </w:pPr>
          </w:p>
        </w:tc>
        <w:tc>
          <w:tcPr>
            <w:tcW w:w="3213" w:type="dxa"/>
            <w:gridSpan w:val="2"/>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小</w:t>
            </w:r>
            <w:r>
              <w:rPr>
                <w:sz w:val="18"/>
                <w:szCs w:val="18"/>
              </w:rPr>
              <w:t xml:space="preserve"> 计</w:t>
            </w:r>
          </w:p>
        </w:tc>
        <w:tc>
          <w:tcPr>
            <w:tcW w:w="504" w:type="dxa"/>
            <w:tcBorders>
              <w:top w:val="single" w:color="auto" w:sz="4" w:space="0"/>
              <w:left w:val="nil"/>
              <w:bottom w:val="single" w:color="auto" w:sz="4" w:space="0"/>
              <w:right w:val="single" w:color="auto" w:sz="4" w:space="0"/>
            </w:tcBorders>
            <w:vAlign w:val="bottom"/>
          </w:tcPr>
          <w:p>
            <w:pPr>
              <w:widowControl/>
              <w:jc w:val="right"/>
              <w:rPr>
                <w:rFonts w:ascii="等线" w:hAnsi="等线" w:eastAsia="等线"/>
                <w:b/>
                <w:color w:val="000000"/>
                <w:sz w:val="18"/>
                <w:szCs w:val="18"/>
              </w:rPr>
            </w:pPr>
            <w:r>
              <w:rPr>
                <w:rFonts w:ascii="等线" w:hAnsi="等线" w:eastAsia="等线"/>
                <w:b/>
                <w:color w:val="000000"/>
                <w:sz w:val="18"/>
                <w:szCs w:val="18"/>
              </w:rPr>
              <w:t>192</w:t>
            </w:r>
          </w:p>
        </w:tc>
        <w:tc>
          <w:tcPr>
            <w:tcW w:w="494" w:type="dxa"/>
            <w:tcBorders>
              <w:top w:val="single" w:color="auto" w:sz="4" w:space="0"/>
              <w:left w:val="single" w:color="auto" w:sz="4" w:space="0"/>
              <w:bottom w:val="single" w:color="auto" w:sz="4" w:space="0"/>
              <w:right w:val="single" w:color="auto" w:sz="4" w:space="0"/>
            </w:tcBorders>
            <w:vAlign w:val="bottom"/>
          </w:tcPr>
          <w:p>
            <w:pPr>
              <w:jc w:val="right"/>
              <w:rPr>
                <w:rFonts w:hint="eastAsia" w:ascii="等线" w:hAnsi="等线" w:eastAsia="等线"/>
                <w:b/>
                <w:color w:val="000000"/>
                <w:sz w:val="18"/>
                <w:szCs w:val="18"/>
              </w:rPr>
            </w:pPr>
          </w:p>
        </w:tc>
        <w:tc>
          <w:tcPr>
            <w:tcW w:w="459" w:type="dxa"/>
            <w:tcBorders>
              <w:top w:val="single" w:color="auto" w:sz="4" w:space="0"/>
              <w:left w:val="single" w:color="auto" w:sz="4" w:space="0"/>
              <w:bottom w:val="single" w:color="auto" w:sz="4" w:space="0"/>
              <w:right w:val="single" w:color="auto" w:sz="4" w:space="0"/>
            </w:tcBorders>
            <w:vAlign w:val="bottom"/>
          </w:tcPr>
          <w:p>
            <w:pPr>
              <w:jc w:val="right"/>
              <w:rPr>
                <w:rFonts w:hint="eastAsia" w:ascii="等线" w:hAnsi="等线" w:eastAsia="等线"/>
                <w:b/>
                <w:color w:val="000000"/>
                <w:sz w:val="18"/>
                <w:szCs w:val="18"/>
              </w:rPr>
            </w:pPr>
          </w:p>
        </w:tc>
        <w:tc>
          <w:tcPr>
            <w:tcW w:w="527" w:type="dxa"/>
            <w:tcBorders>
              <w:top w:val="single" w:color="auto" w:sz="4" w:space="0"/>
              <w:left w:val="single" w:color="auto" w:sz="4" w:space="0"/>
              <w:bottom w:val="single" w:color="auto" w:sz="4" w:space="0"/>
              <w:right w:val="single" w:color="auto" w:sz="4" w:space="0"/>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1</w:t>
            </w:r>
            <w:r>
              <w:rPr>
                <w:rFonts w:ascii="等线" w:hAnsi="等线" w:eastAsia="等线"/>
                <w:b/>
                <w:color w:val="000000"/>
                <w:sz w:val="18"/>
                <w:szCs w:val="18"/>
              </w:rPr>
              <w:t>2</w:t>
            </w:r>
          </w:p>
        </w:tc>
        <w:tc>
          <w:tcPr>
            <w:tcW w:w="422" w:type="dxa"/>
            <w:tcBorders>
              <w:top w:val="single" w:color="auto" w:sz="4" w:space="0"/>
              <w:left w:val="single" w:color="auto" w:sz="4" w:space="0"/>
              <w:bottom w:val="single" w:color="auto" w:sz="4" w:space="0"/>
              <w:right w:val="single" w:color="auto" w:sz="4" w:space="0"/>
            </w:tcBorders>
            <w:vAlign w:val="bottom"/>
          </w:tcPr>
          <w:p>
            <w:pPr>
              <w:jc w:val="right"/>
              <w:rPr>
                <w:rFonts w:hint="eastAsia" w:ascii="等线" w:hAnsi="等线" w:eastAsia="等线"/>
                <w:color w:val="000000"/>
                <w:sz w:val="18"/>
                <w:szCs w:val="18"/>
              </w:rPr>
            </w:pPr>
          </w:p>
        </w:tc>
        <w:tc>
          <w:tcPr>
            <w:tcW w:w="380" w:type="dxa"/>
            <w:tcBorders>
              <w:top w:val="single" w:color="auto" w:sz="4" w:space="0"/>
              <w:left w:val="single" w:color="auto" w:sz="4" w:space="0"/>
              <w:bottom w:val="single" w:color="auto" w:sz="4" w:space="0"/>
              <w:right w:val="single" w:color="auto" w:sz="4" w:space="0"/>
            </w:tcBorders>
            <w:vAlign w:val="bottom"/>
          </w:tcPr>
          <w:p>
            <w:pPr>
              <w:jc w:val="right"/>
              <w:rPr>
                <w:rFonts w:hint="eastAsia" w:ascii="等线" w:hAnsi="等线" w:eastAsia="等线"/>
                <w:color w:val="000000"/>
                <w:sz w:val="18"/>
                <w:szCs w:val="18"/>
              </w:rPr>
            </w:pPr>
          </w:p>
        </w:tc>
        <w:tc>
          <w:tcPr>
            <w:tcW w:w="402" w:type="dxa"/>
            <w:tcBorders>
              <w:top w:val="single" w:color="auto" w:sz="4" w:space="0"/>
              <w:left w:val="single" w:color="auto" w:sz="4" w:space="0"/>
              <w:bottom w:val="single" w:color="auto" w:sz="4" w:space="0"/>
              <w:right w:val="single" w:color="auto" w:sz="4" w:space="0"/>
            </w:tcBorders>
            <w:vAlign w:val="bottom"/>
          </w:tcPr>
          <w:p>
            <w:pPr>
              <w:jc w:val="right"/>
              <w:rPr>
                <w:rFonts w:hint="eastAsia" w:ascii="等线" w:hAnsi="等线" w:eastAsia="等线"/>
                <w:color w:val="000000"/>
                <w:sz w:val="18"/>
                <w:szCs w:val="18"/>
              </w:rPr>
            </w:pPr>
          </w:p>
        </w:tc>
        <w:tc>
          <w:tcPr>
            <w:tcW w:w="380" w:type="dxa"/>
            <w:tcBorders>
              <w:top w:val="single" w:color="auto" w:sz="4" w:space="0"/>
              <w:left w:val="single" w:color="auto" w:sz="4" w:space="0"/>
              <w:bottom w:val="single" w:color="auto" w:sz="4" w:space="0"/>
              <w:right w:val="single" w:color="auto" w:sz="4" w:space="0"/>
            </w:tcBorders>
            <w:vAlign w:val="bottom"/>
          </w:tcPr>
          <w:p>
            <w:pPr>
              <w:jc w:val="right"/>
              <w:rPr>
                <w:rFonts w:hint="eastAsia" w:ascii="等线" w:hAnsi="等线" w:eastAsia="等线"/>
                <w:color w:val="000000"/>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8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446" w:type="dxa"/>
            <w:gridSpan w:val="2"/>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18" w:type="dxa"/>
          <w:cantSplit/>
          <w:trHeight w:val="340" w:hRule="atLeast"/>
          <w:jc w:val="center"/>
        </w:trPr>
        <w:tc>
          <w:tcPr>
            <w:tcW w:w="4403" w:type="dxa"/>
            <w:gridSpan w:val="5"/>
            <w:tcBorders>
              <w:right w:val="single" w:color="auto" w:sz="4" w:space="0"/>
            </w:tcBorders>
            <w:vAlign w:val="center"/>
          </w:tcPr>
          <w:p>
            <w:pPr>
              <w:snapToGrid w:val="0"/>
              <w:ind w:left="-5" w:firstLine="4" w:firstLineChars="2"/>
              <w:jc w:val="center"/>
              <w:rPr>
                <w:rFonts w:hint="eastAsia"/>
                <w:b/>
                <w:sz w:val="18"/>
                <w:szCs w:val="18"/>
              </w:rPr>
            </w:pPr>
            <w:r>
              <w:rPr>
                <w:rFonts w:hint="eastAsia"/>
                <w:b/>
                <w:sz w:val="18"/>
                <w:szCs w:val="18"/>
              </w:rPr>
              <w:t>合  计</w:t>
            </w:r>
          </w:p>
        </w:tc>
        <w:tc>
          <w:tcPr>
            <w:tcW w:w="5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b/>
                <w:color w:val="000000"/>
                <w:sz w:val="18"/>
                <w:szCs w:val="18"/>
                <w:lang w:val="en-US" w:eastAsia="zh-CN"/>
              </w:rPr>
            </w:pPr>
            <w:r>
              <w:rPr>
                <w:rFonts w:hint="eastAsia"/>
                <w:b/>
                <w:color w:val="000000"/>
                <w:sz w:val="18"/>
                <w:szCs w:val="18"/>
                <w:lang w:val="en-US" w:eastAsia="zh-CN"/>
              </w:rPr>
              <w:t>2774</w:t>
            </w:r>
          </w:p>
        </w:tc>
        <w:tc>
          <w:tcPr>
            <w:tcW w:w="494" w:type="dxa"/>
            <w:tcBorders>
              <w:top w:val="single" w:color="auto" w:sz="4" w:space="0"/>
              <w:left w:val="single" w:color="auto" w:sz="4" w:space="0"/>
              <w:bottom w:val="single" w:color="auto" w:sz="4" w:space="0"/>
              <w:right w:val="single" w:color="auto" w:sz="4" w:space="0"/>
            </w:tcBorders>
            <w:vAlign w:val="center"/>
          </w:tcPr>
          <w:p>
            <w:pPr>
              <w:jc w:val="center"/>
              <w:rPr>
                <w:rFonts w:hint="eastAsia"/>
                <w:b/>
                <w:color w:val="000000"/>
                <w:sz w:val="18"/>
                <w:szCs w:val="18"/>
              </w:rPr>
            </w:pPr>
          </w:p>
        </w:tc>
        <w:tc>
          <w:tcPr>
            <w:tcW w:w="459" w:type="dxa"/>
            <w:tcBorders>
              <w:top w:val="single" w:color="auto" w:sz="4" w:space="0"/>
              <w:left w:val="single" w:color="auto" w:sz="4" w:space="0"/>
              <w:bottom w:val="single" w:color="auto" w:sz="4" w:space="0"/>
              <w:right w:val="single" w:color="auto" w:sz="4" w:space="0"/>
            </w:tcBorders>
            <w:vAlign w:val="center"/>
          </w:tcPr>
          <w:p>
            <w:pPr>
              <w:jc w:val="center"/>
              <w:rPr>
                <w:rFonts w:hint="eastAsia"/>
                <w:b/>
                <w:color w:val="000000"/>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
                <w:color w:val="000000"/>
                <w:sz w:val="18"/>
                <w:szCs w:val="18"/>
                <w:lang w:val="en-US" w:eastAsia="zh-CN"/>
              </w:rPr>
            </w:pPr>
            <w:r>
              <w:rPr>
                <w:rFonts w:hint="eastAsia"/>
                <w:b/>
                <w:color w:val="000000"/>
                <w:sz w:val="18"/>
                <w:szCs w:val="18"/>
              </w:rPr>
              <w:t>14</w:t>
            </w:r>
            <w:r>
              <w:rPr>
                <w:rFonts w:hint="eastAsia"/>
                <w:b/>
                <w:color w:val="000000"/>
                <w:sz w:val="18"/>
                <w:szCs w:val="18"/>
                <w:lang w:val="en-US" w:eastAsia="zh-CN"/>
              </w:rPr>
              <w:t>6.5</w:t>
            </w:r>
          </w:p>
        </w:tc>
        <w:tc>
          <w:tcPr>
            <w:tcW w:w="422" w:type="dxa"/>
            <w:tcBorders>
              <w:top w:val="single" w:color="auto" w:sz="4" w:space="0"/>
              <w:left w:val="single" w:color="auto" w:sz="4" w:space="0"/>
              <w:bottom w:val="single" w:color="auto" w:sz="4" w:space="0"/>
              <w:right w:val="single" w:color="auto" w:sz="4" w:space="0"/>
            </w:tcBorders>
            <w:vAlign w:val="center"/>
          </w:tcPr>
          <w:p>
            <w:pPr>
              <w:jc w:val="center"/>
              <w:rPr>
                <w:rFonts w:hint="eastAsia"/>
                <w:b/>
                <w:color w:val="000000"/>
                <w:sz w:val="18"/>
                <w:szCs w:val="18"/>
              </w:rPr>
            </w:pPr>
            <w:r>
              <w:rPr>
                <w:rFonts w:hint="eastAsia"/>
                <w:b/>
                <w:color w:val="000000"/>
                <w:sz w:val="18"/>
                <w:szCs w:val="18"/>
              </w:rPr>
              <w:t>59</w:t>
            </w:r>
          </w:p>
        </w:tc>
        <w:tc>
          <w:tcPr>
            <w:tcW w:w="380" w:type="dxa"/>
            <w:tcBorders>
              <w:top w:val="single" w:color="auto" w:sz="4" w:space="0"/>
              <w:left w:val="single" w:color="auto" w:sz="4" w:space="0"/>
              <w:bottom w:val="single" w:color="auto" w:sz="4" w:space="0"/>
              <w:right w:val="single" w:color="auto" w:sz="4" w:space="0"/>
            </w:tcBorders>
            <w:vAlign w:val="center"/>
          </w:tcPr>
          <w:p>
            <w:pPr>
              <w:jc w:val="center"/>
              <w:rPr>
                <w:rFonts w:hint="eastAsia"/>
                <w:b/>
                <w:color w:val="000000"/>
                <w:sz w:val="18"/>
                <w:szCs w:val="18"/>
              </w:rPr>
            </w:pPr>
            <w:r>
              <w:rPr>
                <w:rFonts w:hint="eastAsia"/>
                <w:b/>
                <w:color w:val="000000"/>
                <w:sz w:val="18"/>
                <w:szCs w:val="18"/>
              </w:rPr>
              <w:t>57</w:t>
            </w:r>
          </w:p>
        </w:tc>
        <w:tc>
          <w:tcPr>
            <w:tcW w:w="402" w:type="dxa"/>
            <w:tcBorders>
              <w:top w:val="single" w:color="auto" w:sz="4" w:space="0"/>
              <w:left w:val="single" w:color="auto" w:sz="4" w:space="0"/>
              <w:bottom w:val="single" w:color="auto" w:sz="4" w:space="0"/>
              <w:right w:val="single" w:color="auto" w:sz="4" w:space="0"/>
            </w:tcBorders>
            <w:vAlign w:val="center"/>
          </w:tcPr>
          <w:p>
            <w:pPr>
              <w:jc w:val="center"/>
              <w:rPr>
                <w:rFonts w:hint="eastAsia"/>
                <w:b/>
                <w:color w:val="000000"/>
                <w:sz w:val="18"/>
                <w:szCs w:val="18"/>
              </w:rPr>
            </w:pPr>
            <w:r>
              <w:rPr>
                <w:rFonts w:hint="eastAsia"/>
                <w:b/>
                <w:color w:val="000000"/>
                <w:sz w:val="18"/>
                <w:szCs w:val="18"/>
              </w:rPr>
              <w:t>94</w:t>
            </w:r>
          </w:p>
        </w:tc>
        <w:tc>
          <w:tcPr>
            <w:tcW w:w="380" w:type="dxa"/>
            <w:tcBorders>
              <w:top w:val="single" w:color="auto" w:sz="4" w:space="0"/>
              <w:left w:val="single" w:color="auto" w:sz="4" w:space="0"/>
              <w:bottom w:val="single" w:color="auto" w:sz="4" w:space="0"/>
              <w:right w:val="single" w:color="auto" w:sz="4" w:space="0"/>
            </w:tcBorders>
            <w:vAlign w:val="center"/>
          </w:tcPr>
          <w:p>
            <w:pPr>
              <w:jc w:val="center"/>
              <w:rPr>
                <w:rFonts w:hint="eastAsia"/>
                <w:b/>
                <w:color w:val="000000"/>
                <w:sz w:val="18"/>
                <w:szCs w:val="18"/>
              </w:rPr>
            </w:pPr>
            <w:r>
              <w:rPr>
                <w:rFonts w:hint="eastAsia"/>
                <w:b/>
                <w:color w:val="000000"/>
                <w:sz w:val="18"/>
                <w:szCs w:val="18"/>
              </w:rPr>
              <w:t>57</w:t>
            </w:r>
          </w:p>
        </w:tc>
        <w:tc>
          <w:tcPr>
            <w:tcW w:w="380" w:type="dxa"/>
            <w:tcBorders>
              <w:top w:val="single" w:color="auto" w:sz="4" w:space="0"/>
              <w:left w:val="single" w:color="auto" w:sz="4" w:space="0"/>
              <w:bottom w:val="single" w:color="auto" w:sz="4" w:space="0"/>
              <w:right w:val="single" w:color="auto" w:sz="4" w:space="0"/>
            </w:tcBorders>
            <w:vAlign w:val="center"/>
          </w:tcPr>
          <w:p>
            <w:pPr>
              <w:jc w:val="center"/>
              <w:rPr>
                <w:rFonts w:hint="eastAsia"/>
                <w:b/>
                <w:color w:val="000000"/>
                <w:sz w:val="18"/>
                <w:szCs w:val="18"/>
              </w:rPr>
            </w:pPr>
            <w:r>
              <w:rPr>
                <w:rFonts w:hint="eastAsia"/>
                <w:b/>
                <w:color w:val="000000"/>
                <w:sz w:val="18"/>
                <w:szCs w:val="18"/>
              </w:rPr>
              <w:t>50</w:t>
            </w:r>
          </w:p>
        </w:tc>
        <w:tc>
          <w:tcPr>
            <w:tcW w:w="380" w:type="dxa"/>
            <w:tcBorders>
              <w:top w:val="single" w:color="auto" w:sz="4" w:space="0"/>
              <w:left w:val="single" w:color="auto" w:sz="4" w:space="0"/>
              <w:bottom w:val="single" w:color="auto" w:sz="4" w:space="0"/>
              <w:right w:val="single" w:color="auto" w:sz="4" w:space="0"/>
            </w:tcBorders>
            <w:vAlign w:val="center"/>
          </w:tcPr>
          <w:p>
            <w:pPr>
              <w:jc w:val="center"/>
              <w:rPr>
                <w:rFonts w:hint="eastAsia"/>
                <w:b/>
                <w:color w:val="000000"/>
                <w:sz w:val="18"/>
                <w:szCs w:val="18"/>
              </w:rPr>
            </w:pPr>
            <w:r>
              <w:rPr>
                <w:rFonts w:hint="eastAsia"/>
                <w:b/>
                <w:color w:val="000000"/>
                <w:sz w:val="18"/>
                <w:szCs w:val="18"/>
              </w:rPr>
              <w:t>15</w:t>
            </w:r>
          </w:p>
        </w:tc>
        <w:tc>
          <w:tcPr>
            <w:tcW w:w="428"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r>
    </w:tbl>
    <w:p>
      <w:pPr>
        <w:spacing w:before="85" w:line="320" w:lineRule="exact"/>
        <w:ind w:left="170" w:right="454"/>
        <w:jc w:val="left"/>
        <w:rPr>
          <w:rFonts w:hint="eastAsia"/>
        </w:rPr>
      </w:pPr>
      <w:r>
        <w:rPr>
          <w:rFonts w:hint="eastAsia"/>
          <w:spacing w:val="-4"/>
          <w:sz w:val="18"/>
          <w:szCs w:val="18"/>
        </w:rPr>
        <w:t>备注</w:t>
      </w:r>
      <w:r>
        <w:rPr>
          <w:spacing w:val="-4"/>
          <w:sz w:val="18"/>
          <w:szCs w:val="18"/>
        </w:rPr>
        <w:t>：</w:t>
      </w:r>
      <w:r>
        <w:rPr>
          <w:rFonts w:hint="eastAsia"/>
          <w:spacing w:val="-4"/>
          <w:sz w:val="18"/>
          <w:szCs w:val="18"/>
        </w:rPr>
        <w:t>*号为考试课程，※号为创新创业教育类课程；★号为核心课程；</w:t>
      </w:r>
      <w:bookmarkStart w:id="13" w:name="_Hlk46395080"/>
      <w:r>
        <w:rPr>
          <w:rFonts w:hint="eastAsia"/>
          <w:spacing w:val="-4"/>
          <w:sz w:val="18"/>
          <w:szCs w:val="18"/>
        </w:rPr>
        <w:t>■</w:t>
      </w:r>
      <w:bookmarkEnd w:id="13"/>
      <w:r>
        <w:rPr>
          <w:rFonts w:hint="eastAsia"/>
          <w:spacing w:val="-4"/>
          <w:sz w:val="18"/>
          <w:szCs w:val="18"/>
        </w:rPr>
        <w:t>号为集中实践课程；▲号表示课程所在学期</w:t>
      </w:r>
    </w:p>
    <w:p>
      <w:pPr>
        <w:numPr>
          <w:ilvl w:val="0"/>
          <w:numId w:val="4"/>
        </w:numPr>
        <w:snapToGrid w:val="0"/>
        <w:spacing w:line="560" w:lineRule="exact"/>
        <w:ind w:firstLine="562" w:firstLineChars="200"/>
        <w:rPr>
          <w:rFonts w:ascii="宋体" w:hAnsi="宋体"/>
          <w:b/>
          <w:sz w:val="28"/>
          <w:szCs w:val="28"/>
        </w:rPr>
      </w:pPr>
      <w:r>
        <w:rPr>
          <w:rFonts w:hint="eastAsia" w:ascii="宋体" w:hAnsi="宋体"/>
          <w:b/>
          <w:sz w:val="28"/>
          <w:szCs w:val="28"/>
        </w:rPr>
        <w:t>课程</w:t>
      </w:r>
      <w:r>
        <w:rPr>
          <w:rFonts w:ascii="宋体" w:hAnsi="宋体"/>
          <w:b/>
          <w:sz w:val="28"/>
          <w:szCs w:val="28"/>
        </w:rPr>
        <w:t>学时与学</w:t>
      </w:r>
      <w:r>
        <w:rPr>
          <w:rFonts w:hint="eastAsia" w:ascii="宋体" w:hAnsi="宋体"/>
          <w:b/>
          <w:sz w:val="28"/>
          <w:szCs w:val="28"/>
        </w:rPr>
        <w:t>分</w:t>
      </w:r>
      <w:r>
        <w:rPr>
          <w:rFonts w:ascii="宋体" w:hAnsi="宋体"/>
          <w:b/>
          <w:sz w:val="28"/>
          <w:szCs w:val="28"/>
        </w:rPr>
        <w:t>分配表</w:t>
      </w:r>
    </w:p>
    <w:p>
      <w:pPr>
        <w:numPr>
          <w:ilvl w:val="0"/>
          <w:numId w:val="0"/>
        </w:numPr>
        <w:snapToGrid w:val="0"/>
        <w:spacing w:line="560" w:lineRule="exact"/>
        <w:rPr>
          <w:rFonts w:hint="default" w:ascii="宋体" w:hAnsi="宋体" w:eastAsia="宋体"/>
          <w:b/>
          <w:sz w:val="28"/>
          <w:szCs w:val="28"/>
          <w:lang w:val="en-US" w:eastAsia="zh-CN"/>
        </w:rPr>
      </w:pPr>
      <w:r>
        <w:rPr>
          <w:rFonts w:hint="eastAsia" w:ascii="宋体" w:hAnsi="宋体"/>
          <w:b/>
          <w:sz w:val="28"/>
          <w:szCs w:val="28"/>
          <w:lang w:val="en-US" w:eastAsia="zh-CN"/>
        </w:rPr>
        <w:t xml:space="preserve">                </w:t>
      </w:r>
      <w:r>
        <w:rPr>
          <w:rFonts w:hint="eastAsia" w:ascii="宋体" w:hAnsi="宋体"/>
          <w:b/>
          <w:sz w:val="21"/>
          <w:szCs w:val="21"/>
          <w:lang w:val="en-US" w:eastAsia="zh-CN"/>
        </w:rPr>
        <w:t>表8 课程学时与学分分配表</w:t>
      </w:r>
    </w:p>
    <w:tbl>
      <w:tblPr>
        <w:tblStyle w:val="1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1"/>
        <w:gridCol w:w="850"/>
        <w:gridCol w:w="851"/>
        <w:gridCol w:w="992"/>
        <w:gridCol w:w="1276"/>
        <w:gridCol w:w="992"/>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4"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专业名称</w:t>
            </w:r>
          </w:p>
        </w:tc>
        <w:tc>
          <w:tcPr>
            <w:tcW w:w="1531"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课程类别</w:t>
            </w:r>
          </w:p>
        </w:tc>
        <w:tc>
          <w:tcPr>
            <w:tcW w:w="850"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总学时</w:t>
            </w:r>
          </w:p>
        </w:tc>
        <w:tc>
          <w:tcPr>
            <w:tcW w:w="851"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理论课学时</w:t>
            </w:r>
          </w:p>
        </w:tc>
        <w:tc>
          <w:tcPr>
            <w:tcW w:w="992"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实践课学时</w:t>
            </w:r>
          </w:p>
        </w:tc>
        <w:tc>
          <w:tcPr>
            <w:tcW w:w="1276" w:type="dxa"/>
            <w:vAlign w:val="center"/>
          </w:tcPr>
          <w:p>
            <w:pPr>
              <w:widowControl/>
              <w:spacing w:line="0" w:lineRule="atLeast"/>
              <w:jc w:val="center"/>
              <w:rPr>
                <w:rFonts w:hint="eastAsia" w:ascii="宋体" w:hAnsi="宋体" w:eastAsia="宋体"/>
                <w:b/>
                <w:bCs/>
                <w:sz w:val="18"/>
                <w:szCs w:val="18"/>
                <w:lang w:val="en-US" w:eastAsia="zh-CN"/>
              </w:rPr>
            </w:pPr>
            <w:r>
              <w:rPr>
                <w:rFonts w:hint="eastAsia" w:ascii="宋体" w:hAnsi="宋体"/>
                <w:b/>
                <w:bCs/>
                <w:sz w:val="18"/>
                <w:szCs w:val="18"/>
              </w:rPr>
              <w:t>实践课所占比例</w:t>
            </w:r>
            <w:r>
              <w:rPr>
                <w:rFonts w:hint="eastAsia" w:ascii="宋体" w:hAnsi="宋体"/>
                <w:b/>
                <w:bCs/>
                <w:sz w:val="18"/>
                <w:szCs w:val="18"/>
                <w:lang w:val="en-US" w:eastAsia="zh-CN"/>
              </w:rPr>
              <w:t>%</w:t>
            </w:r>
          </w:p>
        </w:tc>
        <w:tc>
          <w:tcPr>
            <w:tcW w:w="992" w:type="dxa"/>
            <w:vAlign w:val="center"/>
          </w:tcPr>
          <w:p>
            <w:pPr>
              <w:widowControl/>
              <w:spacing w:line="0" w:lineRule="atLeast"/>
              <w:jc w:val="center"/>
              <w:rPr>
                <w:rFonts w:hint="eastAsia" w:ascii="宋体" w:hAnsi="宋体" w:eastAsia="宋体"/>
                <w:b/>
                <w:bCs/>
                <w:sz w:val="18"/>
                <w:szCs w:val="18"/>
                <w:lang w:val="en-US" w:eastAsia="zh-CN"/>
              </w:rPr>
            </w:pPr>
            <w:r>
              <w:rPr>
                <w:rFonts w:hint="eastAsia" w:ascii="宋体" w:hAnsi="宋体"/>
                <w:b/>
                <w:bCs/>
                <w:sz w:val="18"/>
                <w:szCs w:val="18"/>
              </w:rPr>
              <w:t>占总学时比例</w:t>
            </w:r>
            <w:r>
              <w:rPr>
                <w:rFonts w:hint="eastAsia" w:ascii="宋体" w:hAnsi="宋体"/>
                <w:b/>
                <w:bCs/>
                <w:sz w:val="18"/>
                <w:szCs w:val="18"/>
                <w:lang w:val="en-US" w:eastAsia="zh-CN"/>
              </w:rPr>
              <w:t>%</w:t>
            </w:r>
          </w:p>
        </w:tc>
        <w:tc>
          <w:tcPr>
            <w:tcW w:w="850"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学分数</w:t>
            </w:r>
          </w:p>
        </w:tc>
        <w:tc>
          <w:tcPr>
            <w:tcW w:w="1134" w:type="dxa"/>
            <w:vAlign w:val="center"/>
          </w:tcPr>
          <w:p>
            <w:pPr>
              <w:widowControl/>
              <w:spacing w:line="0" w:lineRule="atLeast"/>
              <w:jc w:val="center"/>
              <w:rPr>
                <w:rFonts w:hint="eastAsia" w:ascii="宋体" w:hAnsi="宋体" w:eastAsia="宋体"/>
                <w:b/>
                <w:bCs/>
                <w:sz w:val="18"/>
                <w:szCs w:val="18"/>
                <w:lang w:val="en-US" w:eastAsia="zh-CN"/>
              </w:rPr>
            </w:pPr>
            <w:r>
              <w:rPr>
                <w:rFonts w:hint="eastAsia" w:ascii="宋体" w:hAnsi="宋体"/>
                <w:b/>
                <w:bCs/>
                <w:sz w:val="18"/>
                <w:szCs w:val="18"/>
              </w:rPr>
              <w:t>占总学分的比例</w:t>
            </w:r>
            <w:r>
              <w:rPr>
                <w:rFonts w:hint="eastAsia" w:ascii="宋体" w:hAnsi="宋体"/>
                <w:b/>
                <w:bCs/>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pPr>
              <w:widowControl/>
              <w:spacing w:line="0" w:lineRule="atLeast"/>
              <w:jc w:val="center"/>
              <w:rPr>
                <w:rFonts w:hint="default" w:ascii="宋体" w:hAnsi="宋体" w:eastAsia="宋体"/>
                <w:b/>
                <w:bCs/>
                <w:sz w:val="18"/>
                <w:szCs w:val="18"/>
                <w:lang w:val="en-US" w:eastAsia="zh-CN"/>
              </w:rPr>
            </w:pPr>
            <w:r>
              <w:rPr>
                <w:rFonts w:hint="eastAsia" w:ascii="宋体" w:hAnsi="宋体"/>
                <w:b/>
                <w:bCs/>
                <w:sz w:val="18"/>
                <w:szCs w:val="18"/>
                <w:lang w:eastAsia="zh-CN"/>
              </w:rPr>
              <w:t>现代</w:t>
            </w:r>
            <w:r>
              <w:rPr>
                <w:rFonts w:hint="eastAsia" w:ascii="宋体" w:hAnsi="宋体"/>
                <w:b/>
                <w:bCs/>
                <w:sz w:val="18"/>
                <w:szCs w:val="18"/>
                <w:lang w:val="en-US" w:eastAsia="zh-CN"/>
              </w:rPr>
              <w:t xml:space="preserve"> 物流管理</w:t>
            </w:r>
          </w:p>
        </w:tc>
        <w:tc>
          <w:tcPr>
            <w:tcW w:w="1531"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公共必修课程</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846</w:t>
            </w:r>
          </w:p>
        </w:tc>
        <w:tc>
          <w:tcPr>
            <w:tcW w:w="851" w:type="dxa"/>
            <w:vAlign w:val="center"/>
          </w:tcPr>
          <w:p>
            <w:pPr>
              <w:jc w:val="center"/>
              <w:rPr>
                <w:rFonts w:hint="default" w:ascii="宋体" w:hAnsi="宋体" w:eastAsia="宋体"/>
                <w:bCs/>
                <w:sz w:val="18"/>
                <w:szCs w:val="18"/>
                <w:lang w:val="en-US" w:eastAsia="zh-CN"/>
              </w:rPr>
            </w:pPr>
            <w:r>
              <w:rPr>
                <w:rFonts w:hint="eastAsia" w:ascii="宋体" w:hAnsi="宋体"/>
                <w:bCs/>
                <w:sz w:val="18"/>
                <w:szCs w:val="18"/>
                <w:lang w:val="en-US" w:eastAsia="zh-CN"/>
              </w:rPr>
              <w:t>468</w:t>
            </w:r>
          </w:p>
        </w:tc>
        <w:tc>
          <w:tcPr>
            <w:tcW w:w="992" w:type="dxa"/>
            <w:vAlign w:val="center"/>
          </w:tcPr>
          <w:p>
            <w:pPr>
              <w:jc w:val="center"/>
              <w:rPr>
                <w:rFonts w:hint="default" w:ascii="宋体" w:hAnsi="宋体" w:eastAsia="宋体"/>
                <w:bCs/>
                <w:sz w:val="18"/>
                <w:szCs w:val="18"/>
                <w:lang w:val="en-US" w:eastAsia="zh-CN"/>
              </w:rPr>
            </w:pPr>
            <w:r>
              <w:rPr>
                <w:rFonts w:hint="eastAsia" w:ascii="宋体" w:hAnsi="宋体"/>
                <w:bCs/>
                <w:sz w:val="18"/>
                <w:szCs w:val="18"/>
                <w:lang w:val="en-US" w:eastAsia="zh-CN"/>
              </w:rPr>
              <w:t>378</w:t>
            </w:r>
          </w:p>
        </w:tc>
        <w:tc>
          <w:tcPr>
            <w:tcW w:w="1276" w:type="dxa"/>
            <w:vAlign w:val="center"/>
          </w:tcPr>
          <w:p>
            <w:pPr>
              <w:jc w:val="center"/>
              <w:rPr>
                <w:rFonts w:hint="default" w:ascii="宋体" w:hAnsi="宋体" w:eastAsia="宋体"/>
                <w:bCs/>
                <w:sz w:val="18"/>
                <w:szCs w:val="18"/>
                <w:lang w:val="en-US" w:eastAsia="zh-CN"/>
              </w:rPr>
            </w:pPr>
            <w:r>
              <w:rPr>
                <w:rFonts w:hint="eastAsia" w:ascii="宋体" w:hAnsi="宋体"/>
                <w:bCs/>
                <w:sz w:val="18"/>
                <w:szCs w:val="18"/>
                <w:lang w:val="en-US" w:eastAsia="zh-CN"/>
              </w:rPr>
              <w:t>44.68</w:t>
            </w:r>
          </w:p>
        </w:tc>
        <w:tc>
          <w:tcPr>
            <w:tcW w:w="992"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30.5</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47</w:t>
            </w:r>
          </w:p>
        </w:tc>
        <w:tc>
          <w:tcPr>
            <w:tcW w:w="1134" w:type="dxa"/>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32.09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pPr>
              <w:widowControl/>
              <w:spacing w:line="0" w:lineRule="atLeast"/>
              <w:jc w:val="center"/>
              <w:rPr>
                <w:rFonts w:ascii="宋体" w:hAnsi="宋体"/>
                <w:b/>
                <w:bCs/>
                <w:sz w:val="18"/>
                <w:szCs w:val="18"/>
              </w:rPr>
            </w:pPr>
          </w:p>
        </w:tc>
        <w:tc>
          <w:tcPr>
            <w:tcW w:w="1531"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专业必修课程</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824</w:t>
            </w:r>
          </w:p>
        </w:tc>
        <w:tc>
          <w:tcPr>
            <w:tcW w:w="851" w:type="dxa"/>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602</w:t>
            </w:r>
          </w:p>
        </w:tc>
        <w:tc>
          <w:tcPr>
            <w:tcW w:w="992" w:type="dxa"/>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222</w:t>
            </w:r>
          </w:p>
        </w:tc>
        <w:tc>
          <w:tcPr>
            <w:tcW w:w="1276" w:type="dxa"/>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26.94</w:t>
            </w:r>
          </w:p>
        </w:tc>
        <w:tc>
          <w:tcPr>
            <w:tcW w:w="992"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29.7</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51.5</w:t>
            </w:r>
          </w:p>
        </w:tc>
        <w:tc>
          <w:tcPr>
            <w:tcW w:w="1134" w:type="dxa"/>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35.15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pPr>
              <w:widowControl/>
              <w:spacing w:line="0" w:lineRule="atLeast"/>
              <w:jc w:val="center"/>
              <w:rPr>
                <w:rFonts w:ascii="宋体" w:hAnsi="宋体"/>
                <w:b/>
                <w:sz w:val="18"/>
                <w:szCs w:val="18"/>
              </w:rPr>
            </w:pPr>
          </w:p>
        </w:tc>
        <w:tc>
          <w:tcPr>
            <w:tcW w:w="1531"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集中实践课程</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720</w:t>
            </w:r>
          </w:p>
        </w:tc>
        <w:tc>
          <w:tcPr>
            <w:tcW w:w="851" w:type="dxa"/>
            <w:vAlign w:val="center"/>
          </w:tcPr>
          <w:p>
            <w:pPr>
              <w:widowControl/>
              <w:spacing w:line="0" w:lineRule="atLeast"/>
              <w:jc w:val="center"/>
              <w:rPr>
                <w:rFonts w:hint="eastAsia" w:ascii="宋体" w:hAnsi="宋体" w:eastAsia="宋体"/>
                <w:bCs/>
                <w:sz w:val="18"/>
                <w:szCs w:val="18"/>
                <w:lang w:val="en-US" w:eastAsia="zh-CN"/>
              </w:rPr>
            </w:pPr>
            <w:r>
              <w:rPr>
                <w:rFonts w:hint="eastAsia" w:ascii="宋体" w:hAnsi="宋体"/>
                <w:bCs/>
                <w:sz w:val="18"/>
                <w:szCs w:val="18"/>
                <w:lang w:val="en-US" w:eastAsia="zh-CN"/>
              </w:rPr>
              <w:t>-</w:t>
            </w:r>
          </w:p>
        </w:tc>
        <w:tc>
          <w:tcPr>
            <w:tcW w:w="992"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720</w:t>
            </w:r>
          </w:p>
        </w:tc>
        <w:tc>
          <w:tcPr>
            <w:tcW w:w="1276"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100</w:t>
            </w:r>
          </w:p>
        </w:tc>
        <w:tc>
          <w:tcPr>
            <w:tcW w:w="992"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25.96</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24</w:t>
            </w:r>
          </w:p>
        </w:tc>
        <w:tc>
          <w:tcPr>
            <w:tcW w:w="1134" w:type="dxa"/>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16.38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pPr>
              <w:widowControl/>
              <w:spacing w:line="0" w:lineRule="atLeast"/>
              <w:jc w:val="center"/>
              <w:rPr>
                <w:rFonts w:ascii="宋体" w:hAnsi="宋体"/>
                <w:b/>
                <w:sz w:val="18"/>
                <w:szCs w:val="18"/>
              </w:rPr>
            </w:pPr>
          </w:p>
        </w:tc>
        <w:tc>
          <w:tcPr>
            <w:tcW w:w="1531"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公共选修课</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Calibri"/>
                <w:sz w:val="18"/>
                <w:szCs w:val="18"/>
                <w:lang w:val="en-US" w:eastAsia="zh-CN"/>
              </w:rPr>
              <w:t>≥192</w:t>
            </w:r>
          </w:p>
        </w:tc>
        <w:tc>
          <w:tcPr>
            <w:tcW w:w="851"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120</w:t>
            </w:r>
          </w:p>
        </w:tc>
        <w:tc>
          <w:tcPr>
            <w:tcW w:w="992"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72</w:t>
            </w:r>
          </w:p>
        </w:tc>
        <w:tc>
          <w:tcPr>
            <w:tcW w:w="1276" w:type="dxa"/>
            <w:vAlign w:val="center"/>
          </w:tcPr>
          <w:p>
            <w:pPr>
              <w:widowControl/>
              <w:spacing w:line="0" w:lineRule="atLeast"/>
              <w:jc w:val="center"/>
              <w:rPr>
                <w:rFonts w:ascii="宋体" w:hAnsi="宋体"/>
                <w:bCs/>
                <w:sz w:val="18"/>
                <w:szCs w:val="18"/>
              </w:rPr>
            </w:pPr>
          </w:p>
        </w:tc>
        <w:tc>
          <w:tcPr>
            <w:tcW w:w="992"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6.92</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bCs/>
                <w:sz w:val="18"/>
                <w:szCs w:val="18"/>
                <w:lang w:val="en-US" w:eastAsia="zh-CN"/>
              </w:rPr>
              <w:t>≥12</w:t>
            </w:r>
          </w:p>
        </w:tc>
        <w:tc>
          <w:tcPr>
            <w:tcW w:w="1134" w:type="dxa"/>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pPr>
              <w:widowControl/>
              <w:spacing w:line="0" w:lineRule="atLeast"/>
              <w:jc w:val="center"/>
              <w:rPr>
                <w:rFonts w:ascii="宋体" w:hAnsi="宋体"/>
                <w:b/>
                <w:sz w:val="18"/>
                <w:szCs w:val="18"/>
              </w:rPr>
            </w:pPr>
          </w:p>
        </w:tc>
        <w:tc>
          <w:tcPr>
            <w:tcW w:w="1531"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专业选修课</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Calibri"/>
                <w:sz w:val="18"/>
                <w:szCs w:val="18"/>
                <w:lang w:val="en-US" w:eastAsia="zh-CN"/>
              </w:rPr>
              <w:t>≥192</w:t>
            </w:r>
          </w:p>
        </w:tc>
        <w:tc>
          <w:tcPr>
            <w:tcW w:w="851"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140</w:t>
            </w:r>
          </w:p>
        </w:tc>
        <w:tc>
          <w:tcPr>
            <w:tcW w:w="992"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52</w:t>
            </w:r>
          </w:p>
        </w:tc>
        <w:tc>
          <w:tcPr>
            <w:tcW w:w="1276" w:type="dxa"/>
            <w:vAlign w:val="center"/>
          </w:tcPr>
          <w:p>
            <w:pPr>
              <w:widowControl/>
              <w:spacing w:line="0" w:lineRule="atLeast"/>
              <w:jc w:val="center"/>
              <w:rPr>
                <w:rFonts w:ascii="宋体" w:hAnsi="宋体"/>
                <w:bCs/>
                <w:sz w:val="18"/>
                <w:szCs w:val="18"/>
              </w:rPr>
            </w:pPr>
          </w:p>
        </w:tc>
        <w:tc>
          <w:tcPr>
            <w:tcW w:w="992" w:type="dxa"/>
            <w:vAlign w:val="center"/>
          </w:tcPr>
          <w:p>
            <w:pPr>
              <w:widowControl/>
              <w:spacing w:line="0" w:lineRule="atLeast"/>
              <w:jc w:val="center"/>
              <w:rPr>
                <w:rFonts w:ascii="宋体" w:hAnsi="宋体"/>
                <w:bCs/>
                <w:sz w:val="18"/>
                <w:szCs w:val="18"/>
              </w:rPr>
            </w:pPr>
            <w:r>
              <w:rPr>
                <w:rFonts w:hint="eastAsia" w:ascii="宋体" w:hAnsi="宋体"/>
                <w:bCs/>
                <w:sz w:val="18"/>
                <w:szCs w:val="18"/>
                <w:lang w:val="en-US" w:eastAsia="zh-CN"/>
              </w:rPr>
              <w:t>6.92</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bCs/>
                <w:sz w:val="18"/>
                <w:szCs w:val="18"/>
                <w:lang w:val="en-US" w:eastAsia="zh-CN"/>
              </w:rPr>
              <w:t>≥12</w:t>
            </w:r>
          </w:p>
        </w:tc>
        <w:tc>
          <w:tcPr>
            <w:tcW w:w="1134" w:type="dxa"/>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pPr>
              <w:widowControl/>
              <w:spacing w:line="0" w:lineRule="atLeast"/>
              <w:jc w:val="center"/>
              <w:rPr>
                <w:rFonts w:ascii="宋体" w:hAnsi="宋体"/>
                <w:bCs/>
                <w:sz w:val="18"/>
                <w:szCs w:val="18"/>
              </w:rPr>
            </w:pPr>
          </w:p>
        </w:tc>
        <w:tc>
          <w:tcPr>
            <w:tcW w:w="1531" w:type="dxa"/>
            <w:vAlign w:val="center"/>
          </w:tcPr>
          <w:p>
            <w:pPr>
              <w:widowControl/>
              <w:spacing w:line="0" w:lineRule="atLeast"/>
              <w:jc w:val="center"/>
              <w:rPr>
                <w:rFonts w:ascii="宋体" w:hAnsi="宋体"/>
                <w:bCs/>
                <w:sz w:val="18"/>
                <w:szCs w:val="18"/>
              </w:rPr>
            </w:pPr>
            <w:r>
              <w:rPr>
                <w:rFonts w:hint="eastAsia" w:ascii="宋体" w:hAnsi="宋体"/>
                <w:b/>
                <w:bCs/>
                <w:sz w:val="18"/>
                <w:szCs w:val="18"/>
              </w:rPr>
              <w:t>总计</w:t>
            </w:r>
          </w:p>
        </w:tc>
        <w:tc>
          <w:tcPr>
            <w:tcW w:w="850" w:type="dxa"/>
            <w:vAlign w:val="center"/>
          </w:tcPr>
          <w:p>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2774</w:t>
            </w:r>
          </w:p>
        </w:tc>
        <w:tc>
          <w:tcPr>
            <w:tcW w:w="851" w:type="dxa"/>
            <w:vAlign w:val="center"/>
          </w:tcPr>
          <w:p>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1330</w:t>
            </w:r>
          </w:p>
        </w:tc>
        <w:tc>
          <w:tcPr>
            <w:tcW w:w="992" w:type="dxa"/>
            <w:vAlign w:val="center"/>
          </w:tcPr>
          <w:p>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1444</w:t>
            </w:r>
          </w:p>
        </w:tc>
        <w:tc>
          <w:tcPr>
            <w:tcW w:w="1276" w:type="dxa"/>
            <w:vAlign w:val="center"/>
          </w:tcPr>
          <w:p>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52.05</w:t>
            </w:r>
          </w:p>
        </w:tc>
        <w:tc>
          <w:tcPr>
            <w:tcW w:w="992" w:type="dxa"/>
            <w:vAlign w:val="center"/>
          </w:tcPr>
          <w:p>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100</w:t>
            </w:r>
          </w:p>
        </w:tc>
        <w:tc>
          <w:tcPr>
            <w:tcW w:w="850" w:type="dxa"/>
            <w:vAlign w:val="center"/>
          </w:tcPr>
          <w:p>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146.5</w:t>
            </w:r>
          </w:p>
        </w:tc>
        <w:tc>
          <w:tcPr>
            <w:tcW w:w="1134" w:type="dxa"/>
            <w:vAlign w:val="center"/>
          </w:tcPr>
          <w:p>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100</w:t>
            </w:r>
          </w:p>
        </w:tc>
      </w:tr>
    </w:tbl>
    <w:p>
      <w:pPr>
        <w:snapToGrid w:val="0"/>
        <w:spacing w:line="560" w:lineRule="exact"/>
        <w:ind w:firstLine="602" w:firstLineChars="200"/>
        <w:outlineLvl w:val="0"/>
        <w:rPr>
          <w:rFonts w:ascii="宋体" w:hAnsi="宋体"/>
          <w:b/>
          <w:sz w:val="30"/>
          <w:szCs w:val="30"/>
        </w:rPr>
      </w:pPr>
      <w:bookmarkStart w:id="14" w:name="_Toc12804"/>
      <w:r>
        <w:rPr>
          <w:rFonts w:hint="eastAsia" w:ascii="宋体" w:hAnsi="宋体"/>
          <w:b/>
          <w:sz w:val="30"/>
          <w:szCs w:val="30"/>
          <w:lang w:val="en-US" w:eastAsia="zh-CN"/>
        </w:rPr>
        <w:t>十</w:t>
      </w:r>
      <w:r>
        <w:rPr>
          <w:rFonts w:ascii="宋体" w:hAnsi="宋体"/>
          <w:b/>
          <w:sz w:val="30"/>
          <w:szCs w:val="30"/>
        </w:rPr>
        <w:t>、教学保障</w:t>
      </w:r>
      <w:bookmarkEnd w:id="14"/>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（一）师资队伍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1.教学创新团队整体要求</w:t>
      </w:r>
    </w:p>
    <w:p>
      <w:pPr>
        <w:pStyle w:val="3"/>
        <w:spacing w:line="440" w:lineRule="exact"/>
        <w:ind w:firstLine="480" w:firstLineChars="200"/>
        <w:jc w:val="both"/>
        <w:rPr>
          <w:color w:val="000000"/>
        </w:rPr>
      </w:pPr>
      <w:r>
        <w:rPr>
          <w:rFonts w:hint="eastAsia" w:ascii="宋体" w:hAnsi="宋体" w:eastAsia="宋体" w:cs="宋体"/>
          <w:kern w:val="2"/>
          <w:sz w:val="24"/>
          <w:szCs w:val="24"/>
          <w:lang w:val="en-US" w:eastAsia="zh-CN" w:bidi="ar-SA"/>
        </w:rPr>
        <w:t>构建一个结构合理、素质优良、创新能力强、教学效果显著的物流专业教学创新团队，具备熟练运用思政无素于课堂授课的能力。该团队应具备高度的凝聚力和向心力，能够紧跟物流行业的发展趋势，不断更新教学内容和教学方</w:t>
      </w:r>
      <w:r>
        <w:rPr>
          <w:rFonts w:hint="eastAsia" w:ascii="宋体" w:hAnsi="宋体" w:eastAsia="宋体" w:cs="宋体"/>
          <w:sz w:val="24"/>
          <w:szCs w:val="24"/>
        </w:rPr>
        <w:t>法，提升教学质量。</w:t>
      </w:r>
      <w:r>
        <w:rPr>
          <w:color w:val="000000"/>
        </w:rPr>
        <w:t>专任教师</w:t>
      </w:r>
      <w:r>
        <w:rPr>
          <w:rFonts w:hint="eastAsia"/>
          <w:color w:val="000000"/>
        </w:rPr>
        <w:t>至少</w:t>
      </w:r>
      <w:r>
        <w:rPr>
          <w:rFonts w:hint="eastAsia"/>
          <w:color w:val="000000"/>
          <w:lang w:val="en-US" w:eastAsia="zh-CN"/>
        </w:rPr>
        <w:t>10</w:t>
      </w:r>
      <w:r>
        <w:rPr>
          <w:color w:val="000000"/>
        </w:rPr>
        <w:t>人</w:t>
      </w:r>
      <w:r>
        <w:rPr>
          <w:rFonts w:hint="eastAsia"/>
          <w:color w:val="000000"/>
          <w:lang w:eastAsia="zh-CN"/>
        </w:rPr>
        <w:t>，</w:t>
      </w:r>
      <w:r>
        <w:rPr>
          <w:color w:val="000000"/>
        </w:rPr>
        <w:t>专任教师队伍的职称、年龄，形成合理的梯队结构</w:t>
      </w:r>
      <w:r>
        <w:rPr>
          <w:rFonts w:hint="eastAsia"/>
          <w:color w:val="000000"/>
          <w:lang w:eastAsia="zh-CN"/>
        </w:rPr>
        <w:t>，</w:t>
      </w:r>
      <w:r>
        <w:rPr>
          <w:color w:val="000000"/>
        </w:rPr>
        <w:t>学生数与专任教师比例</w:t>
      </w:r>
      <w:r>
        <w:rPr>
          <w:rFonts w:hint="eastAsia"/>
          <w:color w:val="000000"/>
        </w:rPr>
        <w:t>达到</w:t>
      </w:r>
      <w:r>
        <w:rPr>
          <w:color w:val="000000"/>
        </w:rPr>
        <w:t>24:1</w:t>
      </w:r>
      <w:r>
        <w:rPr>
          <w:rFonts w:hint="eastAsia"/>
          <w:color w:val="000000"/>
        </w:rPr>
        <w:t>；</w:t>
      </w:r>
      <w:r>
        <w:rPr>
          <w:color w:val="000000"/>
        </w:rPr>
        <w:t>其中正教授</w:t>
      </w:r>
      <w:r>
        <w:rPr>
          <w:rFonts w:hint="eastAsia"/>
          <w:color w:val="000000"/>
        </w:rPr>
        <w:t>至少</w:t>
      </w:r>
      <w:r>
        <w:rPr>
          <w:color w:val="000000"/>
        </w:rPr>
        <w:t>1人</w:t>
      </w:r>
      <w:r>
        <w:rPr>
          <w:rFonts w:hint="eastAsia"/>
          <w:color w:val="000000"/>
          <w:lang w:eastAsia="zh-CN"/>
        </w:rPr>
        <w:t>，</w:t>
      </w:r>
      <w:r>
        <w:rPr>
          <w:color w:val="000000"/>
        </w:rPr>
        <w:t>副教授</w:t>
      </w:r>
      <w:r>
        <w:rPr>
          <w:rFonts w:hint="eastAsia"/>
          <w:color w:val="000000"/>
        </w:rPr>
        <w:t>至少</w:t>
      </w:r>
      <w:r>
        <w:rPr>
          <w:color w:val="000000"/>
        </w:rPr>
        <w:t>4人,高级职称占比</w:t>
      </w:r>
      <w:r>
        <w:rPr>
          <w:rFonts w:hint="eastAsia"/>
          <w:color w:val="000000"/>
        </w:rPr>
        <w:t>应达到</w:t>
      </w:r>
      <w:r>
        <w:rPr>
          <w:rFonts w:hint="eastAsia"/>
          <w:color w:val="000000"/>
          <w:lang w:val="en-US" w:eastAsia="zh-CN"/>
        </w:rPr>
        <w:t>50</w:t>
      </w:r>
      <w:r>
        <w:rPr>
          <w:color w:val="000000"/>
        </w:rPr>
        <w:t>%</w:t>
      </w:r>
      <w:r>
        <w:rPr>
          <w:rFonts w:hint="eastAsia"/>
          <w:color w:val="000000"/>
        </w:rPr>
        <w:t>以上；</w:t>
      </w:r>
      <w:r>
        <w:rPr>
          <w:color w:val="000000"/>
        </w:rPr>
        <w:t>双师占比</w:t>
      </w:r>
      <w:r>
        <w:rPr>
          <w:rFonts w:hint="eastAsia"/>
          <w:color w:val="000000"/>
        </w:rPr>
        <w:t>超过</w:t>
      </w:r>
      <w:r>
        <w:rPr>
          <w:rFonts w:hint="eastAsia"/>
          <w:color w:val="000000"/>
          <w:lang w:val="en-US" w:eastAsia="zh-CN"/>
        </w:rPr>
        <w:t>98</w:t>
      </w:r>
      <w:r>
        <w:rPr>
          <w:color w:val="000000"/>
        </w:rPr>
        <w:t>%</w:t>
      </w:r>
      <w:r>
        <w:rPr>
          <w:rFonts w:hint="eastAsia"/>
          <w:color w:val="000000"/>
        </w:rPr>
        <w:t>；</w:t>
      </w:r>
      <w:r>
        <w:rPr>
          <w:color w:val="000000"/>
        </w:rPr>
        <w:t>博士研究生</w:t>
      </w:r>
      <w:r>
        <w:rPr>
          <w:rFonts w:hint="eastAsia"/>
          <w:color w:val="000000"/>
        </w:rPr>
        <w:t>至少</w:t>
      </w:r>
      <w:r>
        <w:rPr>
          <w:color w:val="000000"/>
        </w:rPr>
        <w:t>1人</w:t>
      </w:r>
      <w:r>
        <w:rPr>
          <w:rFonts w:hint="eastAsia"/>
          <w:color w:val="000000"/>
          <w:lang w:eastAsia="zh-CN"/>
        </w:rPr>
        <w:t>，</w:t>
      </w:r>
      <w:r>
        <w:rPr>
          <w:color w:val="000000"/>
        </w:rPr>
        <w:t>硕士研究生学历以上占比</w:t>
      </w:r>
      <w:r>
        <w:rPr>
          <w:rFonts w:hint="eastAsia"/>
          <w:color w:val="000000"/>
          <w:lang w:val="en-US" w:eastAsia="zh-CN"/>
        </w:rPr>
        <w:t>90</w:t>
      </w:r>
      <w:r>
        <w:rPr>
          <w:color w:val="000000"/>
        </w:rPr>
        <w:t>%</w:t>
      </w:r>
      <w:r>
        <w:rPr>
          <w:rFonts w:hint="eastAsia"/>
          <w:color w:val="000000"/>
          <w:lang w:eastAsia="zh-CN"/>
        </w:rPr>
        <w:t>以上</w:t>
      </w:r>
      <w:r>
        <w:rPr>
          <w:rFonts w:hint="eastAsia"/>
          <w:color w:val="000000"/>
        </w:rPr>
        <w:t>；</w:t>
      </w:r>
      <w:r>
        <w:rPr>
          <w:color w:val="000000"/>
        </w:rPr>
        <w:t>专业带头人1人</w:t>
      </w:r>
      <w:r>
        <w:rPr>
          <w:rFonts w:hint="eastAsia"/>
          <w:color w:val="000000"/>
        </w:rPr>
        <w:t>；</w:t>
      </w:r>
      <w:r>
        <w:rPr>
          <w:color w:val="000000"/>
        </w:rPr>
        <w:t>校外兼职教师人数</w:t>
      </w:r>
      <w:r>
        <w:rPr>
          <w:rFonts w:hint="eastAsia"/>
          <w:color w:val="000000"/>
        </w:rPr>
        <w:t>至少</w:t>
      </w:r>
      <w:r>
        <w:rPr>
          <w:rFonts w:hint="eastAsia"/>
          <w:color w:val="000000"/>
          <w:lang w:val="en-US" w:eastAsia="zh-CN"/>
        </w:rPr>
        <w:t>4</w:t>
      </w:r>
      <w:r>
        <w:rPr>
          <w:color w:val="000000"/>
        </w:rPr>
        <w:t>人</w:t>
      </w:r>
      <w:r>
        <w:rPr>
          <w:rFonts w:hint="eastAsia"/>
          <w:color w:val="000000"/>
          <w:lang w:eastAsia="zh-CN"/>
        </w:rPr>
        <w:t>，</w:t>
      </w:r>
      <w:r>
        <w:rPr>
          <w:color w:val="000000"/>
        </w:rPr>
        <w:t>兼职教师占整个教师队伍比例为</w:t>
      </w:r>
      <w:r>
        <w:rPr>
          <w:rFonts w:hint="eastAsia"/>
          <w:color w:val="000000"/>
        </w:rPr>
        <w:t>应大于</w:t>
      </w:r>
      <w:r>
        <w:rPr>
          <w:color w:val="000000"/>
        </w:rPr>
        <w:t>3</w:t>
      </w:r>
      <w:r>
        <w:rPr>
          <w:rFonts w:hint="eastAsia"/>
          <w:color w:val="000000"/>
        </w:rPr>
        <w:t>0</w:t>
      </w:r>
      <w:r>
        <w:rPr>
          <w:color w:val="000000"/>
        </w:rPr>
        <w:t>%。</w:t>
      </w:r>
    </w:p>
    <w:p>
      <w:pPr>
        <w:bidi w:val="0"/>
        <w:ind w:firstLine="480" w:firstLineChars="20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团队结构要求</w:t>
      </w:r>
    </w:p>
    <w:tbl>
      <w:tblPr>
        <w:tblStyle w:val="10"/>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11"/>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111" w:type="dxa"/>
            <w:shd w:val="clear" w:color="auto" w:fill="F5F7FA"/>
            <w:tcMar>
              <w:top w:w="100" w:type="dxa"/>
              <w:left w:w="60" w:type="dxa"/>
              <w:bottom w:w="100" w:type="dxa"/>
              <w:right w:w="6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000000" w:themeColor="text1"/>
                <w:spacing w:val="0"/>
                <w:sz w:val="18"/>
                <w:szCs w:val="18"/>
                <w14:textFill>
                  <w14:solidFill>
                    <w14:schemeClr w14:val="tx1"/>
                  </w14:solidFill>
                </w14:textFill>
              </w:rPr>
            </w:pPr>
            <w:r>
              <w:rPr>
                <w:rFonts w:hint="eastAsia" w:ascii="宋体" w:hAnsi="宋体" w:eastAsia="宋体" w:cs="宋体"/>
                <w:i w:val="0"/>
                <w:iCs w:val="0"/>
                <w:caps w:val="0"/>
                <w:color w:val="000000" w:themeColor="text1"/>
                <w:spacing w:val="0"/>
                <w:kern w:val="0"/>
                <w:sz w:val="18"/>
                <w:szCs w:val="18"/>
                <w:lang w:val="en-US" w:eastAsia="zh-CN" w:bidi="ar"/>
                <w14:textFill>
                  <w14:solidFill>
                    <w14:schemeClr w14:val="tx1"/>
                  </w14:solidFill>
                </w14:textFill>
              </w:rPr>
              <w:t>类别</w:t>
            </w:r>
          </w:p>
        </w:tc>
        <w:tc>
          <w:tcPr>
            <w:tcW w:w="7641" w:type="dxa"/>
            <w:shd w:val="clear" w:color="auto" w:fill="F5F7FA"/>
            <w:tcMar>
              <w:top w:w="100" w:type="dxa"/>
              <w:left w:w="60" w:type="dxa"/>
              <w:bottom w:w="100" w:type="dxa"/>
              <w:right w:w="6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000000" w:themeColor="text1"/>
                <w:spacing w:val="0"/>
                <w:sz w:val="18"/>
                <w:szCs w:val="18"/>
                <w14:textFill>
                  <w14:solidFill>
                    <w14:schemeClr w14:val="tx1"/>
                  </w14:solidFill>
                </w14:textFill>
              </w:rPr>
            </w:pPr>
            <w:r>
              <w:rPr>
                <w:rFonts w:hint="eastAsia" w:ascii="宋体" w:hAnsi="宋体" w:eastAsia="宋体" w:cs="宋体"/>
                <w:i w:val="0"/>
                <w:iCs w:val="0"/>
                <w:caps w:val="0"/>
                <w:color w:val="000000" w:themeColor="text1"/>
                <w:spacing w:val="0"/>
                <w:kern w:val="0"/>
                <w:sz w:val="18"/>
                <w:szCs w:val="18"/>
                <w:lang w:val="en-US" w:eastAsia="zh-CN" w:bidi="ar"/>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111"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000000" w:themeColor="text1"/>
                <w:spacing w:val="0"/>
                <w:sz w:val="18"/>
                <w:szCs w:val="18"/>
                <w14:textFill>
                  <w14:solidFill>
                    <w14:schemeClr w14:val="tx1"/>
                  </w14:solidFill>
                </w14:textFill>
              </w:rPr>
            </w:pPr>
            <w:r>
              <w:rPr>
                <w:rFonts w:hint="eastAsia" w:ascii="宋体" w:hAnsi="宋体" w:eastAsia="宋体" w:cs="宋体"/>
                <w:i w:val="0"/>
                <w:iCs w:val="0"/>
                <w:caps w:val="0"/>
                <w:color w:val="000000" w:themeColor="text1"/>
                <w:spacing w:val="0"/>
                <w:kern w:val="0"/>
                <w:sz w:val="18"/>
                <w:szCs w:val="18"/>
                <w:lang w:val="en-US" w:eastAsia="zh-CN" w:bidi="ar"/>
                <w14:textFill>
                  <w14:solidFill>
                    <w14:schemeClr w14:val="tx1"/>
                  </w14:solidFill>
                </w14:textFill>
              </w:rPr>
              <w:t>专兼职比例</w:t>
            </w:r>
          </w:p>
        </w:tc>
        <w:tc>
          <w:tcPr>
            <w:tcW w:w="7641"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i w:val="0"/>
                <w:iCs w:val="0"/>
                <w:caps w:val="0"/>
                <w:color w:val="000000" w:themeColor="text1"/>
                <w:spacing w:val="0"/>
                <w:sz w:val="18"/>
                <w:szCs w:val="18"/>
                <w14:textFill>
                  <w14:solidFill>
                    <w14:schemeClr w14:val="tx1"/>
                  </w14:solidFill>
                </w14:textFill>
              </w:rPr>
            </w:pPr>
            <w:r>
              <w:rPr>
                <w:rFonts w:hint="eastAsia" w:ascii="宋体" w:hAnsi="宋体" w:eastAsia="宋体" w:cs="宋体"/>
                <w:i w:val="0"/>
                <w:iCs w:val="0"/>
                <w:caps w:val="0"/>
                <w:color w:val="000000" w:themeColor="text1"/>
                <w:spacing w:val="0"/>
                <w:kern w:val="0"/>
                <w:sz w:val="18"/>
                <w:szCs w:val="18"/>
                <w:lang w:val="en-US" w:eastAsia="zh-CN" w:bidi="ar"/>
                <w14:textFill>
                  <w14:solidFill>
                    <w14:schemeClr w14:val="tx1"/>
                  </w14:solidFill>
                </w14:textFill>
              </w:rPr>
              <w:t>根据物流专业的教学需求，合理配置专任教师与兼职教师的比例，确保教学质量和实践教学的有效结合，确保教学稳定性和行业前沿性。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111"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000000" w:themeColor="text1"/>
                <w:spacing w:val="0"/>
                <w:sz w:val="18"/>
                <w:szCs w:val="18"/>
                <w14:textFill>
                  <w14:solidFill>
                    <w14:schemeClr w14:val="tx1"/>
                  </w14:solidFill>
                </w14:textFill>
              </w:rPr>
            </w:pPr>
            <w:r>
              <w:rPr>
                <w:rFonts w:hint="eastAsia" w:ascii="宋体" w:hAnsi="宋体" w:eastAsia="宋体" w:cs="宋体"/>
                <w:i w:val="0"/>
                <w:iCs w:val="0"/>
                <w:caps w:val="0"/>
                <w:color w:val="000000" w:themeColor="text1"/>
                <w:spacing w:val="0"/>
                <w:kern w:val="0"/>
                <w:sz w:val="18"/>
                <w:szCs w:val="18"/>
                <w:lang w:val="en-US" w:eastAsia="zh-CN" w:bidi="ar"/>
                <w14:textFill>
                  <w14:solidFill>
                    <w14:schemeClr w14:val="tx1"/>
                  </w14:solidFill>
                </w14:textFill>
              </w:rPr>
              <w:t>职称结构</w:t>
            </w:r>
          </w:p>
        </w:tc>
        <w:tc>
          <w:tcPr>
            <w:tcW w:w="7641"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i w:val="0"/>
                <w:iCs w:val="0"/>
                <w:caps w:val="0"/>
                <w:color w:val="000000" w:themeColor="text1"/>
                <w:spacing w:val="0"/>
                <w:sz w:val="18"/>
                <w:szCs w:val="18"/>
                <w14:textFill>
                  <w14:solidFill>
                    <w14:schemeClr w14:val="tx1"/>
                  </w14:solidFill>
                </w14:textFill>
              </w:rPr>
            </w:pPr>
            <w:r>
              <w:rPr>
                <w:rFonts w:hint="eastAsia" w:ascii="宋体" w:hAnsi="宋体" w:eastAsia="宋体" w:cs="宋体"/>
                <w:i w:val="0"/>
                <w:iCs w:val="0"/>
                <w:caps w:val="0"/>
                <w:color w:val="000000" w:themeColor="text1"/>
                <w:spacing w:val="0"/>
                <w:kern w:val="0"/>
                <w:sz w:val="18"/>
                <w:szCs w:val="18"/>
                <w:lang w:val="en-US" w:eastAsia="zh-CN" w:bidi="ar"/>
                <w14:textFill>
                  <w14:solidFill>
                    <w14:schemeClr w14:val="tx1"/>
                  </w14:solidFill>
                </w14:textFill>
              </w:rPr>
              <w:t>团队中应有一定比例的高级职称教师，以提供丰富的教学和科研经验；同时，应具备一定数量硕士及以上学历的中级职称教师作为骨干力量，形成职称与学历结构合理的师资队伍。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111"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000000" w:themeColor="text1"/>
                <w:spacing w:val="0"/>
                <w:sz w:val="18"/>
                <w:szCs w:val="18"/>
                <w14:textFill>
                  <w14:solidFill>
                    <w14:schemeClr w14:val="tx1"/>
                  </w14:solidFill>
                </w14:textFill>
              </w:rPr>
            </w:pPr>
            <w:r>
              <w:rPr>
                <w:rFonts w:hint="eastAsia" w:ascii="宋体" w:hAnsi="宋体" w:eastAsia="宋体" w:cs="宋体"/>
                <w:i w:val="0"/>
                <w:iCs w:val="0"/>
                <w:caps w:val="0"/>
                <w:color w:val="000000" w:themeColor="text1"/>
                <w:spacing w:val="0"/>
                <w:kern w:val="0"/>
                <w:sz w:val="18"/>
                <w:szCs w:val="18"/>
                <w:lang w:val="en-US" w:eastAsia="zh-CN" w:bidi="ar"/>
                <w14:textFill>
                  <w14:solidFill>
                    <w14:schemeClr w14:val="tx1"/>
                  </w14:solidFill>
                </w14:textFill>
              </w:rPr>
              <w:t>学历结构</w:t>
            </w:r>
          </w:p>
        </w:tc>
        <w:tc>
          <w:tcPr>
            <w:tcW w:w="7641"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i w:val="0"/>
                <w:iCs w:val="0"/>
                <w:caps w:val="0"/>
                <w:color w:val="000000" w:themeColor="text1"/>
                <w:spacing w:val="0"/>
                <w:sz w:val="18"/>
                <w:szCs w:val="18"/>
                <w14:textFill>
                  <w14:solidFill>
                    <w14:schemeClr w14:val="tx1"/>
                  </w14:solidFill>
                </w14:textFill>
              </w:rPr>
            </w:pPr>
            <w:r>
              <w:rPr>
                <w:rFonts w:hint="eastAsia" w:ascii="宋体" w:hAnsi="宋体" w:eastAsia="宋体" w:cs="宋体"/>
                <w:i w:val="0"/>
                <w:iCs w:val="0"/>
                <w:caps w:val="0"/>
                <w:color w:val="000000" w:themeColor="text1"/>
                <w:spacing w:val="0"/>
                <w:kern w:val="0"/>
                <w:sz w:val="18"/>
                <w:szCs w:val="18"/>
                <w:lang w:val="en-US" w:eastAsia="zh-CN" w:bidi="ar"/>
                <w14:textFill>
                  <w14:solidFill>
                    <w14:schemeClr w14:val="tx1"/>
                  </w14:solidFill>
                </w14:textFill>
              </w:rPr>
              <w:t>教师团队应具有硕士及以上学历的较高比例，鼓励教师攻读博士学位，提升团队整体学术水平。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111"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000000" w:themeColor="text1"/>
                <w:spacing w:val="0"/>
                <w:sz w:val="18"/>
                <w:szCs w:val="18"/>
                <w14:textFill>
                  <w14:solidFill>
                    <w14:schemeClr w14:val="tx1"/>
                  </w14:solidFill>
                </w14:textFill>
              </w:rPr>
            </w:pPr>
            <w:r>
              <w:rPr>
                <w:rFonts w:hint="eastAsia" w:ascii="宋体" w:hAnsi="宋体" w:eastAsia="宋体" w:cs="宋体"/>
                <w:i w:val="0"/>
                <w:iCs w:val="0"/>
                <w:caps w:val="0"/>
                <w:color w:val="000000" w:themeColor="text1"/>
                <w:spacing w:val="0"/>
                <w:kern w:val="0"/>
                <w:sz w:val="18"/>
                <w:szCs w:val="18"/>
                <w:lang w:val="en-US" w:eastAsia="zh-CN" w:bidi="ar"/>
                <w14:textFill>
                  <w14:solidFill>
                    <w14:schemeClr w14:val="tx1"/>
                  </w14:solidFill>
                </w14:textFill>
              </w:rPr>
              <w:t>双师比例</w:t>
            </w:r>
          </w:p>
        </w:tc>
        <w:tc>
          <w:tcPr>
            <w:tcW w:w="7641"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i w:val="0"/>
                <w:iCs w:val="0"/>
                <w:caps w:val="0"/>
                <w:color w:val="000000" w:themeColor="text1"/>
                <w:spacing w:val="0"/>
                <w:sz w:val="18"/>
                <w:szCs w:val="18"/>
                <w14:textFill>
                  <w14:solidFill>
                    <w14:schemeClr w14:val="tx1"/>
                  </w14:solidFill>
                </w14:textFill>
              </w:rPr>
            </w:pPr>
            <w:r>
              <w:rPr>
                <w:rFonts w:hint="eastAsia" w:ascii="宋体" w:hAnsi="宋体" w:eastAsia="宋体" w:cs="宋体"/>
                <w:i w:val="0"/>
                <w:iCs w:val="0"/>
                <w:caps w:val="0"/>
                <w:color w:val="000000" w:themeColor="text1"/>
                <w:spacing w:val="0"/>
                <w:kern w:val="0"/>
                <w:sz w:val="18"/>
                <w:szCs w:val="18"/>
                <w:lang w:val="en-US" w:eastAsia="zh-CN" w:bidi="ar"/>
                <w14:textFill>
                  <w14:solidFill>
                    <w14:schemeClr w14:val="tx1"/>
                  </w14:solidFill>
                </w14:textFill>
              </w:rPr>
              <w:t>鼓励教师具备双师素质（即具备教师资格和物流行业</w:t>
            </w:r>
            <w:r>
              <w:rPr>
                <w:rFonts w:hint="eastAsia" w:ascii="宋体" w:hAnsi="宋体" w:cs="宋体"/>
                <w:i w:val="0"/>
                <w:iCs w:val="0"/>
                <w:caps w:val="0"/>
                <w:color w:val="000000" w:themeColor="text1"/>
                <w:spacing w:val="0"/>
                <w:kern w:val="0"/>
                <w:sz w:val="18"/>
                <w:szCs w:val="18"/>
                <w:lang w:val="en-US" w:eastAsia="zh-CN" w:bidi="ar"/>
                <w14:textFill>
                  <w14:solidFill>
                    <w14:schemeClr w14:val="tx1"/>
                  </w14:solidFill>
                </w14:textFill>
              </w:rPr>
              <w:t>相关</w:t>
            </w:r>
            <w:r>
              <w:rPr>
                <w:rFonts w:hint="eastAsia" w:ascii="宋体" w:hAnsi="宋体" w:eastAsia="宋体" w:cs="宋体"/>
                <w:i w:val="0"/>
                <w:iCs w:val="0"/>
                <w:caps w:val="0"/>
                <w:color w:val="000000" w:themeColor="text1"/>
                <w:spacing w:val="0"/>
                <w:kern w:val="0"/>
                <w:sz w:val="18"/>
                <w:szCs w:val="18"/>
                <w:lang w:val="en-US" w:eastAsia="zh-CN" w:bidi="ar"/>
                <w14:textFill>
                  <w14:solidFill>
                    <w14:schemeClr w14:val="tx1"/>
                  </w14:solidFill>
                </w14:textFill>
              </w:rPr>
              <w:t>专业资格），双师比例应达到一定水平，以满足物流专业实践性强的教学需求。</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专业带头人要求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专业带头人应具有副高及以上教师职称或者博士学位，具备</w:t>
      </w:r>
      <w:r>
        <w:rPr>
          <w:rFonts w:hint="eastAsia" w:ascii="宋体" w:hAnsi="宋体" w:cs="宋体"/>
          <w:sz w:val="24"/>
          <w:szCs w:val="24"/>
          <w:lang w:eastAsia="zh-CN"/>
        </w:rPr>
        <w:t>扎实</w:t>
      </w:r>
      <w:r>
        <w:rPr>
          <w:rFonts w:hint="eastAsia" w:ascii="宋体" w:hAnsi="宋体" w:eastAsia="宋体" w:cs="宋体"/>
          <w:sz w:val="24"/>
          <w:szCs w:val="24"/>
        </w:rPr>
        <w:t>物流专业理论知识和</w:t>
      </w:r>
      <w:r>
        <w:rPr>
          <w:rFonts w:hint="eastAsia" w:ascii="宋体" w:hAnsi="宋体" w:cs="宋体"/>
          <w:sz w:val="24"/>
          <w:szCs w:val="24"/>
          <w:lang w:eastAsia="zh-CN"/>
        </w:rPr>
        <w:t>较为丰富</w:t>
      </w:r>
      <w:r>
        <w:rPr>
          <w:rFonts w:hint="eastAsia" w:ascii="宋体" w:hAnsi="宋体" w:eastAsia="宋体" w:cs="宋体"/>
          <w:sz w:val="24"/>
          <w:szCs w:val="24"/>
        </w:rPr>
        <w:t>的实践经验。</w:t>
      </w:r>
      <w:r>
        <w:rPr>
          <w:rFonts w:hint="eastAsia" w:ascii="宋体" w:hAnsi="宋体" w:cs="宋体"/>
          <w:sz w:val="24"/>
          <w:szCs w:val="24"/>
          <w:lang w:eastAsia="zh-CN"/>
        </w:rPr>
        <w:t>洞察国内外物流业发展态势，了解国民经济发展对物流人才的需求，</w:t>
      </w:r>
      <w:r>
        <w:rPr>
          <w:rFonts w:hint="eastAsia" w:ascii="宋体" w:hAnsi="宋体" w:eastAsia="宋体" w:cs="宋体"/>
          <w:sz w:val="24"/>
          <w:szCs w:val="24"/>
        </w:rPr>
        <w:t>具备良好的组织协调能力和创新能力，能够带领团队开展教学改革和科研工作，提升专业整体教学水平。同时，还应具备较高的行业影响力，能够为学生提供</w:t>
      </w:r>
      <w:r>
        <w:rPr>
          <w:rFonts w:hint="eastAsia" w:ascii="宋体" w:hAnsi="宋体" w:cs="宋体"/>
          <w:sz w:val="24"/>
          <w:szCs w:val="24"/>
          <w:lang w:eastAsia="zh-CN"/>
        </w:rPr>
        <w:t>良好</w:t>
      </w:r>
      <w:r>
        <w:rPr>
          <w:rFonts w:hint="eastAsia" w:ascii="宋体" w:hAnsi="宋体" w:eastAsia="宋体" w:cs="宋体"/>
          <w:sz w:val="24"/>
          <w:szCs w:val="24"/>
        </w:rPr>
        <w:t>的实践机会和就业指导。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专任教师要求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专任教师应具备相应的职称和学历，具备扎实的物流专业理论知识和教学技能。具备良好的师德师风，热爱教育事业，关心学生成长。同时，具备较强的实践能力，能够指导学生进行实践活动和</w:t>
      </w:r>
      <w:r>
        <w:rPr>
          <w:rFonts w:hint="eastAsia" w:ascii="宋体" w:hAnsi="宋体" w:cs="宋体"/>
          <w:sz w:val="24"/>
          <w:szCs w:val="24"/>
          <w:lang w:eastAsia="zh-CN"/>
        </w:rPr>
        <w:t>业务</w:t>
      </w:r>
      <w:r>
        <w:rPr>
          <w:rFonts w:hint="eastAsia" w:ascii="宋体" w:hAnsi="宋体" w:eastAsia="宋体" w:cs="宋体"/>
          <w:sz w:val="24"/>
          <w:szCs w:val="24"/>
        </w:rPr>
        <w:t>创新。专任教师定期参加培训和进修，不断更新知识和提升能力。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兼职教师要求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兼职教师具备相应的职称和学历，具备</w:t>
      </w:r>
      <w:r>
        <w:rPr>
          <w:rFonts w:hint="eastAsia" w:ascii="宋体" w:hAnsi="宋体" w:cs="宋体"/>
          <w:sz w:val="24"/>
          <w:szCs w:val="24"/>
          <w:lang w:eastAsia="zh-CN"/>
        </w:rPr>
        <w:t>更为</w:t>
      </w:r>
      <w:r>
        <w:rPr>
          <w:rFonts w:hint="eastAsia" w:ascii="宋体" w:hAnsi="宋体" w:eastAsia="宋体" w:cs="宋体"/>
          <w:sz w:val="24"/>
          <w:szCs w:val="24"/>
        </w:rPr>
        <w:t>丰富的物流行业实践经验和较高的专业素养。能够为学生提供实用的行业知识和实践经验，帮助学生更好地了解行业发展趋势和就业市场。兼职教师具备良好的师德师风，能够以身作则，为学生树立正确的价值观和职业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师德师风和双师素养要求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全体</w:t>
      </w:r>
      <w:r>
        <w:rPr>
          <w:rFonts w:hint="eastAsia" w:ascii="宋体" w:hAnsi="宋体" w:cs="宋体"/>
          <w:sz w:val="24"/>
          <w:szCs w:val="24"/>
          <w:lang w:eastAsia="zh-CN"/>
        </w:rPr>
        <w:t>专业</w:t>
      </w:r>
      <w:r>
        <w:rPr>
          <w:rFonts w:hint="eastAsia" w:ascii="宋体" w:hAnsi="宋体" w:eastAsia="宋体" w:cs="宋体"/>
          <w:sz w:val="24"/>
          <w:szCs w:val="24"/>
        </w:rPr>
        <w:t>教师具备良好的师德师风，遵守职业道德规范，为人师表，言传身教。同时，注重培养自身的双师素养，即既具备教师资格又具备行业从业资格，以满足物流专业实践性强的教学需求。学校应加强对教师师德师风和双师素养的培训和考核，确保教师团队的整体素质和教学质量。</w:t>
      </w:r>
    </w:p>
    <w:p>
      <w:pPr>
        <w:widowControl/>
        <w:spacing w:line="440" w:lineRule="exact"/>
        <w:ind w:firstLine="420"/>
        <w:jc w:val="left"/>
        <w:rPr>
          <w:rFonts w:ascii="宋体" w:hAnsi="宋体" w:cs="宋体"/>
          <w:b/>
          <w:color w:val="000000"/>
          <w:kern w:val="0"/>
          <w:sz w:val="24"/>
          <w:szCs w:val="24"/>
        </w:rPr>
      </w:pPr>
      <w:r>
        <w:rPr>
          <w:rFonts w:hint="eastAsia" w:ascii="宋体" w:hAnsi="宋体" w:cs="宋体"/>
          <w:b/>
          <w:color w:val="000000"/>
          <w:kern w:val="0"/>
          <w:sz w:val="24"/>
          <w:szCs w:val="24"/>
        </w:rPr>
        <w:t>（二）教学</w:t>
      </w:r>
      <w:r>
        <w:rPr>
          <w:rFonts w:ascii="宋体" w:hAnsi="宋体" w:cs="宋体"/>
          <w:b/>
          <w:color w:val="000000"/>
          <w:kern w:val="0"/>
          <w:sz w:val="24"/>
          <w:szCs w:val="24"/>
        </w:rPr>
        <w:t>设施</w:t>
      </w:r>
    </w:p>
    <w:p>
      <w:pPr>
        <w:widowControl/>
        <w:numPr>
          <w:ilvl w:val="0"/>
          <w:numId w:val="0"/>
        </w:numPr>
        <w:spacing w:line="440" w:lineRule="exac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实训教学条件建设标准</w:t>
      </w:r>
    </w:p>
    <w:tbl>
      <w:tblPr>
        <w:tblStyle w:val="10"/>
        <w:tblW w:w="9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FDFE"/>
        <w:tblLayout w:type="fixed"/>
        <w:tblCellMar>
          <w:top w:w="0" w:type="dxa"/>
          <w:left w:w="0" w:type="dxa"/>
          <w:bottom w:w="0" w:type="dxa"/>
          <w:right w:w="0" w:type="dxa"/>
        </w:tblCellMar>
      </w:tblPr>
      <w:tblGrid>
        <w:gridCol w:w="922"/>
        <w:gridCol w:w="1211"/>
        <w:gridCol w:w="1114"/>
        <w:gridCol w:w="1354"/>
        <w:gridCol w:w="3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922" w:type="dxa"/>
            <w:shd w:val="clear" w:color="auto" w:fill="F5F7FA"/>
            <w:tcMar>
              <w:top w:w="100" w:type="dxa"/>
              <w:left w:w="60" w:type="dxa"/>
              <w:bottom w:w="100" w:type="dxa"/>
              <w:right w:w="6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b/>
                <w:bCs/>
                <w:i w:val="0"/>
                <w:iCs w:val="0"/>
                <w:caps w:val="0"/>
                <w:color w:val="001846"/>
                <w:spacing w:val="0"/>
                <w:sz w:val="18"/>
                <w:szCs w:val="18"/>
              </w:rPr>
            </w:pPr>
            <w:r>
              <w:rPr>
                <w:rFonts w:hint="eastAsia" w:ascii="宋体" w:hAnsi="宋体" w:eastAsia="宋体" w:cs="宋体"/>
                <w:b/>
                <w:bCs/>
                <w:i w:val="0"/>
                <w:iCs w:val="0"/>
                <w:caps w:val="0"/>
                <w:color w:val="001846"/>
                <w:spacing w:val="0"/>
                <w:kern w:val="0"/>
                <w:sz w:val="18"/>
                <w:szCs w:val="18"/>
                <w:lang w:val="en-US" w:eastAsia="zh-CN" w:bidi="ar"/>
              </w:rPr>
              <w:t>实训教学类别</w:t>
            </w:r>
          </w:p>
        </w:tc>
        <w:tc>
          <w:tcPr>
            <w:tcW w:w="1211" w:type="dxa"/>
            <w:shd w:val="clear" w:color="auto" w:fill="F5F7FA"/>
            <w:tcMar>
              <w:top w:w="100" w:type="dxa"/>
              <w:left w:w="60" w:type="dxa"/>
              <w:bottom w:w="100" w:type="dxa"/>
              <w:right w:w="6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b/>
                <w:bCs/>
                <w:i w:val="0"/>
                <w:iCs w:val="0"/>
                <w:caps w:val="0"/>
                <w:color w:val="001846"/>
                <w:spacing w:val="0"/>
                <w:sz w:val="18"/>
                <w:szCs w:val="18"/>
              </w:rPr>
            </w:pPr>
            <w:r>
              <w:rPr>
                <w:rFonts w:hint="eastAsia" w:ascii="宋体" w:hAnsi="宋体" w:eastAsia="宋体" w:cs="宋体"/>
                <w:b/>
                <w:bCs/>
                <w:i w:val="0"/>
                <w:iCs w:val="0"/>
                <w:caps w:val="0"/>
                <w:color w:val="001846"/>
                <w:spacing w:val="0"/>
                <w:kern w:val="0"/>
                <w:sz w:val="18"/>
                <w:szCs w:val="18"/>
                <w:lang w:val="en-US" w:eastAsia="zh-CN" w:bidi="ar"/>
              </w:rPr>
              <w:t>实训场所名称</w:t>
            </w:r>
          </w:p>
        </w:tc>
        <w:tc>
          <w:tcPr>
            <w:tcW w:w="1114" w:type="dxa"/>
            <w:shd w:val="clear" w:color="auto" w:fill="F5F7FA"/>
            <w:tcMar>
              <w:top w:w="100" w:type="dxa"/>
              <w:left w:w="60" w:type="dxa"/>
              <w:bottom w:w="100" w:type="dxa"/>
              <w:right w:w="6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b/>
                <w:bCs/>
                <w:i w:val="0"/>
                <w:iCs w:val="0"/>
                <w:caps w:val="0"/>
                <w:color w:val="001846"/>
                <w:spacing w:val="0"/>
                <w:sz w:val="18"/>
                <w:szCs w:val="18"/>
              </w:rPr>
            </w:pPr>
            <w:r>
              <w:rPr>
                <w:rFonts w:hint="eastAsia" w:ascii="宋体" w:hAnsi="宋体" w:eastAsia="宋体" w:cs="宋体"/>
                <w:b/>
                <w:bCs/>
                <w:i w:val="0"/>
                <w:iCs w:val="0"/>
                <w:caps w:val="0"/>
                <w:color w:val="001846"/>
                <w:spacing w:val="0"/>
                <w:kern w:val="0"/>
                <w:sz w:val="18"/>
                <w:szCs w:val="18"/>
                <w:lang w:val="en-US" w:eastAsia="zh-CN" w:bidi="ar"/>
              </w:rPr>
              <w:t>实训场地</w:t>
            </w:r>
          </w:p>
        </w:tc>
        <w:tc>
          <w:tcPr>
            <w:tcW w:w="1354" w:type="dxa"/>
            <w:shd w:val="clear" w:color="auto" w:fill="F5F7FA"/>
            <w:tcMar>
              <w:top w:w="100" w:type="dxa"/>
              <w:left w:w="60" w:type="dxa"/>
              <w:bottom w:w="100" w:type="dxa"/>
              <w:right w:w="6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b/>
                <w:bCs/>
                <w:i w:val="0"/>
                <w:iCs w:val="0"/>
                <w:caps w:val="0"/>
                <w:color w:val="001846"/>
                <w:spacing w:val="0"/>
                <w:sz w:val="18"/>
                <w:szCs w:val="18"/>
              </w:rPr>
            </w:pPr>
            <w:r>
              <w:rPr>
                <w:rFonts w:hint="eastAsia" w:ascii="宋体" w:hAnsi="宋体" w:eastAsia="宋体" w:cs="宋体"/>
                <w:b/>
                <w:bCs/>
                <w:i w:val="0"/>
                <w:iCs w:val="0"/>
                <w:caps w:val="0"/>
                <w:color w:val="001846"/>
                <w:spacing w:val="0"/>
                <w:kern w:val="0"/>
                <w:sz w:val="18"/>
                <w:szCs w:val="18"/>
                <w:lang w:val="en-US" w:eastAsia="zh-CN" w:bidi="ar"/>
              </w:rPr>
              <w:t>功能</w:t>
            </w:r>
          </w:p>
        </w:tc>
        <w:tc>
          <w:tcPr>
            <w:tcW w:w="3570" w:type="dxa"/>
            <w:shd w:val="clear" w:color="auto" w:fill="F5F7FA"/>
            <w:tcMar>
              <w:top w:w="100" w:type="dxa"/>
              <w:left w:w="60" w:type="dxa"/>
              <w:bottom w:w="100" w:type="dxa"/>
              <w:right w:w="6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b/>
                <w:bCs/>
                <w:i w:val="0"/>
                <w:iCs w:val="0"/>
                <w:caps w:val="0"/>
                <w:color w:val="001846"/>
                <w:spacing w:val="0"/>
                <w:sz w:val="18"/>
                <w:szCs w:val="18"/>
              </w:rPr>
            </w:pPr>
            <w:r>
              <w:rPr>
                <w:rFonts w:hint="eastAsia" w:ascii="宋体" w:hAnsi="宋体" w:eastAsia="宋体" w:cs="宋体"/>
                <w:b/>
                <w:bCs/>
                <w:i w:val="0"/>
                <w:iCs w:val="0"/>
                <w:caps w:val="0"/>
                <w:color w:val="001846"/>
                <w:spacing w:val="0"/>
                <w:kern w:val="0"/>
                <w:sz w:val="18"/>
                <w:szCs w:val="18"/>
                <w:lang w:val="en-US" w:eastAsia="zh-CN" w:bidi="ar"/>
              </w:rPr>
              <w:t>主要实训项目</w:t>
            </w:r>
          </w:p>
        </w:tc>
        <w:tc>
          <w:tcPr>
            <w:tcW w:w="1019" w:type="dxa"/>
            <w:shd w:val="clear" w:color="auto" w:fill="F5F7FA"/>
            <w:tcMar>
              <w:top w:w="100" w:type="dxa"/>
              <w:left w:w="60" w:type="dxa"/>
              <w:bottom w:w="100" w:type="dxa"/>
              <w:right w:w="6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b/>
                <w:bCs/>
                <w:i w:val="0"/>
                <w:iCs w:val="0"/>
                <w:caps w:val="0"/>
                <w:color w:val="001846"/>
                <w:spacing w:val="0"/>
                <w:sz w:val="18"/>
                <w:szCs w:val="18"/>
              </w:rPr>
            </w:pPr>
            <w:r>
              <w:rPr>
                <w:rFonts w:hint="eastAsia" w:ascii="宋体" w:hAnsi="宋体" w:eastAsia="宋体" w:cs="宋体"/>
                <w:b/>
                <w:bCs/>
                <w:i w:val="0"/>
                <w:iCs w:val="0"/>
                <w:caps w:val="0"/>
                <w:color w:val="001846"/>
                <w:spacing w:val="0"/>
                <w:kern w:val="0"/>
                <w:sz w:val="18"/>
                <w:szCs w:val="18"/>
                <w:lang w:val="en-US" w:eastAsia="zh-CN" w:bidi="ar"/>
              </w:rPr>
              <w:t>关联课程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FDFE"/>
          <w:tblCellMar>
            <w:top w:w="0" w:type="dxa"/>
            <w:left w:w="0" w:type="dxa"/>
            <w:bottom w:w="0" w:type="dxa"/>
            <w:right w:w="0" w:type="dxa"/>
          </w:tblCellMar>
        </w:tblPrEx>
        <w:tc>
          <w:tcPr>
            <w:tcW w:w="922"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基础实训</w:t>
            </w:r>
          </w:p>
        </w:tc>
        <w:tc>
          <w:tcPr>
            <w:tcW w:w="1211"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物流基础实训室</w:t>
            </w:r>
          </w:p>
        </w:tc>
        <w:tc>
          <w:tcPr>
            <w:tcW w:w="1114"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室内</w:t>
            </w:r>
          </w:p>
        </w:tc>
        <w:tc>
          <w:tcPr>
            <w:tcW w:w="1354"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物流基础操作训练</w:t>
            </w:r>
          </w:p>
        </w:tc>
        <w:tc>
          <w:tcPr>
            <w:tcW w:w="3570"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货物分类、堆码、打包等</w:t>
            </w:r>
          </w:p>
        </w:tc>
        <w:tc>
          <w:tcPr>
            <w:tcW w:w="1019"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物流</w:t>
            </w:r>
            <w:r>
              <w:rPr>
                <w:rFonts w:hint="eastAsia" w:ascii="宋体" w:hAnsi="宋体" w:cs="宋体"/>
                <w:i w:val="0"/>
                <w:iCs w:val="0"/>
                <w:caps w:val="0"/>
                <w:color w:val="120649"/>
                <w:spacing w:val="0"/>
                <w:kern w:val="0"/>
                <w:sz w:val="18"/>
                <w:szCs w:val="18"/>
                <w:lang w:val="en-US" w:eastAsia="zh-CN" w:bidi="ar"/>
              </w:rPr>
              <w:t>管理</w:t>
            </w:r>
            <w:r>
              <w:rPr>
                <w:rFonts w:hint="eastAsia" w:ascii="宋体" w:hAnsi="宋体" w:eastAsia="宋体" w:cs="宋体"/>
                <w:i w:val="0"/>
                <w:iCs w:val="0"/>
                <w:caps w:val="0"/>
                <w:color w:val="120649"/>
                <w:spacing w:val="0"/>
                <w:kern w:val="0"/>
                <w:sz w:val="18"/>
                <w:szCs w:val="18"/>
                <w:lang w:val="en-US" w:eastAsia="zh-CN" w:bidi="ar"/>
              </w:rPr>
              <w:t>基础</w:t>
            </w:r>
            <w:r>
              <w:rPr>
                <w:rFonts w:hint="eastAsia" w:ascii="宋体" w:hAnsi="宋体" w:cs="宋体"/>
                <w:i w:val="0"/>
                <w:iCs w:val="0"/>
                <w:caps w:val="0"/>
                <w:color w:val="120649"/>
                <w:spacing w:val="0"/>
                <w:kern w:val="0"/>
                <w:sz w:val="18"/>
                <w:szCs w:val="18"/>
                <w:lang w:val="en-US" w:eastAsia="zh-CN" w:bidi="ar"/>
              </w:rPr>
              <w:t>、货物学基础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FDFE"/>
          <w:tblCellMar>
            <w:top w:w="0" w:type="dxa"/>
            <w:left w:w="0" w:type="dxa"/>
            <w:bottom w:w="0" w:type="dxa"/>
            <w:right w:w="0" w:type="dxa"/>
          </w:tblCellMar>
        </w:tblPrEx>
        <w:tc>
          <w:tcPr>
            <w:tcW w:w="922"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专业技能实训</w:t>
            </w:r>
          </w:p>
        </w:tc>
        <w:tc>
          <w:tcPr>
            <w:tcW w:w="1211"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仓储实训室</w:t>
            </w:r>
          </w:p>
        </w:tc>
        <w:tc>
          <w:tcPr>
            <w:tcW w:w="1114"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仓库模拟环境</w:t>
            </w:r>
          </w:p>
        </w:tc>
        <w:tc>
          <w:tcPr>
            <w:tcW w:w="1354"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仓储管理、库存管理</w:t>
            </w:r>
          </w:p>
        </w:tc>
        <w:tc>
          <w:tcPr>
            <w:tcW w:w="3570"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货物入库、出库、盘点等</w:t>
            </w:r>
          </w:p>
        </w:tc>
        <w:tc>
          <w:tcPr>
            <w:tcW w:w="1019"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仓储与配送管理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FDFE"/>
          <w:tblCellMar>
            <w:top w:w="0" w:type="dxa"/>
            <w:left w:w="0" w:type="dxa"/>
            <w:bottom w:w="0" w:type="dxa"/>
            <w:right w:w="0" w:type="dxa"/>
          </w:tblCellMar>
        </w:tblPrEx>
        <w:tc>
          <w:tcPr>
            <w:tcW w:w="922" w:type="dxa"/>
            <w:shd w:val="clear" w:color="auto" w:fill="FDFDFE"/>
            <w:tcMar>
              <w:top w:w="100" w:type="dxa"/>
              <w:left w:w="100" w:type="dxa"/>
              <w:bottom w:w="100" w:type="dxa"/>
              <w:right w:w="100" w:type="dxa"/>
            </w:tcMar>
            <w:vAlign w:val="center"/>
          </w:tcPr>
          <w:p>
            <w:pPr>
              <w:jc w:val="center"/>
              <w:rPr>
                <w:rFonts w:hint="eastAsia" w:ascii="宋体" w:hAnsi="宋体" w:eastAsia="宋体" w:cs="宋体"/>
                <w:i w:val="0"/>
                <w:iCs w:val="0"/>
                <w:caps w:val="0"/>
                <w:color w:val="120649"/>
                <w:spacing w:val="0"/>
                <w:sz w:val="18"/>
                <w:szCs w:val="18"/>
              </w:rPr>
            </w:pPr>
          </w:p>
        </w:tc>
        <w:tc>
          <w:tcPr>
            <w:tcW w:w="1211"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运输实训室</w:t>
            </w:r>
          </w:p>
        </w:tc>
        <w:tc>
          <w:tcPr>
            <w:tcW w:w="1114"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模拟运输调度中心</w:t>
            </w:r>
          </w:p>
        </w:tc>
        <w:tc>
          <w:tcPr>
            <w:tcW w:w="1354"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运输规划与调度</w:t>
            </w:r>
          </w:p>
        </w:tc>
        <w:tc>
          <w:tcPr>
            <w:tcW w:w="3570"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运输计划制定、运输路线选择等</w:t>
            </w:r>
          </w:p>
        </w:tc>
        <w:tc>
          <w:tcPr>
            <w:tcW w:w="1019"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运输管理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FDFE"/>
          <w:tblCellMar>
            <w:top w:w="0" w:type="dxa"/>
            <w:left w:w="0" w:type="dxa"/>
            <w:bottom w:w="0" w:type="dxa"/>
            <w:right w:w="0" w:type="dxa"/>
          </w:tblCellMar>
        </w:tblPrEx>
        <w:tc>
          <w:tcPr>
            <w:tcW w:w="922" w:type="dxa"/>
            <w:shd w:val="clear" w:color="auto" w:fill="F5F7FA"/>
            <w:tcMar>
              <w:top w:w="100" w:type="dxa"/>
              <w:left w:w="100" w:type="dxa"/>
              <w:bottom w:w="100" w:type="dxa"/>
              <w:right w:w="100" w:type="dxa"/>
            </w:tcMar>
            <w:vAlign w:val="center"/>
          </w:tcPr>
          <w:p>
            <w:pPr>
              <w:jc w:val="center"/>
              <w:rPr>
                <w:rFonts w:hint="eastAsia" w:ascii="宋体" w:hAnsi="宋体" w:eastAsia="宋体" w:cs="宋体"/>
                <w:i w:val="0"/>
                <w:iCs w:val="0"/>
                <w:caps w:val="0"/>
                <w:color w:val="120649"/>
                <w:spacing w:val="0"/>
                <w:sz w:val="18"/>
                <w:szCs w:val="18"/>
              </w:rPr>
            </w:pPr>
          </w:p>
        </w:tc>
        <w:tc>
          <w:tcPr>
            <w:tcW w:w="1211"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物流信息系统实训室</w:t>
            </w:r>
          </w:p>
        </w:tc>
        <w:tc>
          <w:tcPr>
            <w:tcW w:w="1114"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计算机教室</w:t>
            </w:r>
          </w:p>
        </w:tc>
        <w:tc>
          <w:tcPr>
            <w:tcW w:w="1354"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物流信息系统操作</w:t>
            </w:r>
          </w:p>
        </w:tc>
        <w:tc>
          <w:tcPr>
            <w:tcW w:w="3570"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订单处理、货物跟踪等</w:t>
            </w:r>
          </w:p>
        </w:tc>
        <w:tc>
          <w:tcPr>
            <w:tcW w:w="1019"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物流信息</w:t>
            </w:r>
            <w:r>
              <w:rPr>
                <w:rFonts w:hint="eastAsia" w:ascii="宋体" w:hAnsi="宋体" w:cs="宋体"/>
                <w:i w:val="0"/>
                <w:iCs w:val="0"/>
                <w:caps w:val="0"/>
                <w:color w:val="120649"/>
                <w:spacing w:val="0"/>
                <w:kern w:val="0"/>
                <w:sz w:val="18"/>
                <w:szCs w:val="18"/>
                <w:lang w:val="en-US" w:eastAsia="zh-CN" w:bidi="ar"/>
              </w:rPr>
              <w:t>管理、国际物流与货运代理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FDFE"/>
          <w:tblCellMar>
            <w:top w:w="0" w:type="dxa"/>
            <w:left w:w="0" w:type="dxa"/>
            <w:bottom w:w="0" w:type="dxa"/>
            <w:right w:w="0" w:type="dxa"/>
          </w:tblCellMar>
        </w:tblPrEx>
        <w:tc>
          <w:tcPr>
            <w:tcW w:w="922" w:type="dxa"/>
            <w:shd w:val="clear" w:color="auto" w:fill="F5F7FA"/>
            <w:tcMar>
              <w:top w:w="100" w:type="dxa"/>
              <w:left w:w="100" w:type="dxa"/>
              <w:bottom w:w="100" w:type="dxa"/>
              <w:right w:w="100" w:type="dxa"/>
            </w:tcMar>
            <w:vAlign w:val="center"/>
          </w:tcPr>
          <w:p>
            <w:pPr>
              <w:jc w:val="center"/>
              <w:rPr>
                <w:rFonts w:hint="eastAsia" w:ascii="宋体" w:hAnsi="宋体" w:eastAsia="宋体" w:cs="宋体"/>
                <w:i w:val="0"/>
                <w:iCs w:val="0"/>
                <w:caps w:val="0"/>
                <w:color w:val="120649"/>
                <w:spacing w:val="0"/>
                <w:sz w:val="18"/>
                <w:szCs w:val="18"/>
              </w:rPr>
            </w:pPr>
          </w:p>
        </w:tc>
        <w:tc>
          <w:tcPr>
            <w:tcW w:w="1211"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kern w:val="0"/>
                <w:sz w:val="18"/>
                <w:szCs w:val="18"/>
                <w:lang w:val="en-US" w:eastAsia="zh-CN" w:bidi="ar"/>
              </w:rPr>
            </w:pPr>
            <w:r>
              <w:rPr>
                <w:rFonts w:hint="eastAsia" w:ascii="宋体" w:hAnsi="宋体" w:eastAsia="宋体" w:cs="宋体"/>
                <w:i w:val="0"/>
                <w:iCs w:val="0"/>
                <w:caps w:val="0"/>
                <w:color w:val="120649"/>
                <w:spacing w:val="0"/>
                <w:kern w:val="0"/>
                <w:sz w:val="18"/>
                <w:szCs w:val="18"/>
                <w:lang w:val="en-US" w:eastAsia="zh-CN" w:bidi="ar"/>
              </w:rPr>
              <w:t>生产与物流实训室</w:t>
            </w:r>
          </w:p>
        </w:tc>
        <w:tc>
          <w:tcPr>
            <w:tcW w:w="1114"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kern w:val="0"/>
                <w:sz w:val="18"/>
                <w:szCs w:val="18"/>
                <w:lang w:val="en-US" w:eastAsia="zh-CN" w:bidi="ar"/>
              </w:rPr>
            </w:pPr>
            <w:r>
              <w:rPr>
                <w:rFonts w:hint="eastAsia" w:ascii="宋体" w:hAnsi="宋体" w:eastAsia="宋体" w:cs="宋体"/>
                <w:i w:val="0"/>
                <w:iCs w:val="0"/>
                <w:caps w:val="0"/>
                <w:color w:val="120649"/>
                <w:spacing w:val="0"/>
                <w:kern w:val="0"/>
                <w:sz w:val="18"/>
                <w:szCs w:val="18"/>
                <w:lang w:val="en-US" w:eastAsia="zh-CN" w:bidi="ar"/>
              </w:rPr>
              <w:t>生产物流实训室</w:t>
            </w:r>
          </w:p>
        </w:tc>
        <w:tc>
          <w:tcPr>
            <w:tcW w:w="1354"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宋体" w:hAnsi="宋体" w:eastAsia="宋体" w:cs="宋体"/>
                <w:i w:val="0"/>
                <w:iCs w:val="0"/>
                <w:caps w:val="0"/>
                <w:color w:val="120649"/>
                <w:spacing w:val="0"/>
                <w:kern w:val="0"/>
                <w:sz w:val="18"/>
                <w:szCs w:val="18"/>
                <w:lang w:val="en-US" w:eastAsia="zh-CN" w:bidi="ar"/>
              </w:rPr>
            </w:pPr>
            <w:r>
              <w:rPr>
                <w:rFonts w:hint="eastAsia" w:ascii="宋体" w:hAnsi="宋体" w:eastAsia="宋体" w:cs="宋体"/>
                <w:i w:val="0"/>
                <w:iCs w:val="0"/>
                <w:caps w:val="0"/>
                <w:color w:val="120649"/>
                <w:spacing w:val="0"/>
                <w:kern w:val="0"/>
                <w:sz w:val="18"/>
                <w:szCs w:val="18"/>
                <w:lang w:val="en-US" w:eastAsia="zh-CN" w:bidi="ar"/>
              </w:rPr>
              <w:t>生产物流操作训练</w:t>
            </w:r>
          </w:p>
        </w:tc>
        <w:tc>
          <w:tcPr>
            <w:tcW w:w="3570"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宋体" w:hAnsi="宋体" w:eastAsia="宋体" w:cs="宋体"/>
                <w:i w:val="0"/>
                <w:iCs w:val="0"/>
                <w:caps w:val="0"/>
                <w:color w:val="120649"/>
                <w:spacing w:val="0"/>
                <w:kern w:val="0"/>
                <w:sz w:val="18"/>
                <w:szCs w:val="18"/>
                <w:lang w:val="en-US" w:eastAsia="zh-CN" w:bidi="ar"/>
              </w:rPr>
            </w:pPr>
            <w:r>
              <w:rPr>
                <w:rFonts w:hint="eastAsia" w:ascii="宋体" w:hAnsi="宋体" w:cs="宋体"/>
                <w:i w:val="0"/>
                <w:iCs w:val="0"/>
                <w:caps w:val="0"/>
                <w:color w:val="120649"/>
                <w:spacing w:val="0"/>
                <w:kern w:val="0"/>
                <w:sz w:val="18"/>
                <w:szCs w:val="18"/>
                <w:lang w:val="en-US" w:eastAsia="zh-CN" w:bidi="ar"/>
              </w:rPr>
              <w:t>生产计划与排产、材料、成品</w:t>
            </w:r>
            <w:r>
              <w:rPr>
                <w:rFonts w:hint="eastAsia" w:ascii="宋体" w:hAnsi="宋体" w:eastAsia="宋体" w:cs="宋体"/>
                <w:i w:val="0"/>
                <w:iCs w:val="0"/>
                <w:caps w:val="0"/>
                <w:color w:val="120649"/>
                <w:spacing w:val="0"/>
                <w:kern w:val="0"/>
                <w:sz w:val="18"/>
                <w:szCs w:val="18"/>
                <w:lang w:val="en-US" w:eastAsia="zh-CN" w:bidi="ar"/>
              </w:rPr>
              <w:t>管理、</w:t>
            </w:r>
            <w:r>
              <w:rPr>
                <w:rFonts w:hint="eastAsia" w:ascii="宋体" w:hAnsi="宋体" w:cs="宋体"/>
                <w:i w:val="0"/>
                <w:iCs w:val="0"/>
                <w:caps w:val="0"/>
                <w:color w:val="120649"/>
                <w:spacing w:val="0"/>
                <w:kern w:val="0"/>
                <w:sz w:val="18"/>
                <w:szCs w:val="18"/>
                <w:lang w:val="en-US" w:eastAsia="zh-CN" w:bidi="ar"/>
              </w:rPr>
              <w:t>分拣与配送</w:t>
            </w:r>
            <w:r>
              <w:rPr>
                <w:rFonts w:hint="eastAsia" w:ascii="宋体" w:hAnsi="宋体" w:eastAsia="宋体" w:cs="宋体"/>
                <w:i w:val="0"/>
                <w:iCs w:val="0"/>
                <w:caps w:val="0"/>
                <w:color w:val="120649"/>
                <w:spacing w:val="0"/>
                <w:kern w:val="0"/>
                <w:sz w:val="18"/>
                <w:szCs w:val="18"/>
                <w:lang w:val="en-US" w:eastAsia="zh-CN" w:bidi="ar"/>
              </w:rPr>
              <w:t>、成本</w:t>
            </w:r>
            <w:r>
              <w:rPr>
                <w:rFonts w:hint="eastAsia" w:ascii="宋体" w:hAnsi="宋体" w:cs="宋体"/>
                <w:i w:val="0"/>
                <w:iCs w:val="0"/>
                <w:caps w:val="0"/>
                <w:color w:val="120649"/>
                <w:spacing w:val="0"/>
                <w:kern w:val="0"/>
                <w:sz w:val="18"/>
                <w:szCs w:val="18"/>
                <w:lang w:val="en-US" w:eastAsia="zh-CN" w:bidi="ar"/>
              </w:rPr>
              <w:t>核算与</w:t>
            </w:r>
            <w:r>
              <w:rPr>
                <w:rFonts w:hint="eastAsia" w:ascii="宋体" w:hAnsi="宋体" w:eastAsia="宋体" w:cs="宋体"/>
                <w:i w:val="0"/>
                <w:iCs w:val="0"/>
                <w:caps w:val="0"/>
                <w:color w:val="120649"/>
                <w:spacing w:val="0"/>
                <w:kern w:val="0"/>
                <w:sz w:val="18"/>
                <w:szCs w:val="18"/>
                <w:lang w:val="en-US" w:eastAsia="zh-CN" w:bidi="ar"/>
              </w:rPr>
              <w:t>管理等</w:t>
            </w:r>
          </w:p>
        </w:tc>
        <w:tc>
          <w:tcPr>
            <w:tcW w:w="1019"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宋体" w:hAnsi="宋体" w:eastAsia="宋体" w:cs="宋体"/>
                <w:i w:val="0"/>
                <w:iCs w:val="0"/>
                <w:caps w:val="0"/>
                <w:color w:val="120649"/>
                <w:spacing w:val="0"/>
                <w:kern w:val="0"/>
                <w:sz w:val="18"/>
                <w:szCs w:val="18"/>
                <w:lang w:val="en-US" w:eastAsia="zh-CN" w:bidi="ar"/>
              </w:rPr>
            </w:pPr>
            <w:r>
              <w:rPr>
                <w:rFonts w:hint="eastAsia" w:ascii="宋体" w:hAnsi="宋体" w:eastAsia="宋体" w:cs="宋体"/>
                <w:i w:val="0"/>
                <w:iCs w:val="0"/>
                <w:caps w:val="0"/>
                <w:color w:val="120649"/>
                <w:spacing w:val="0"/>
                <w:kern w:val="0"/>
                <w:sz w:val="18"/>
                <w:szCs w:val="18"/>
                <w:lang w:val="en-US" w:eastAsia="zh-CN" w:bidi="ar"/>
              </w:rPr>
              <w:t>生产与</w:t>
            </w:r>
            <w:r>
              <w:rPr>
                <w:rFonts w:hint="eastAsia" w:ascii="宋体" w:hAnsi="宋体" w:cs="宋体"/>
                <w:i w:val="0"/>
                <w:iCs w:val="0"/>
                <w:caps w:val="0"/>
                <w:color w:val="120649"/>
                <w:spacing w:val="0"/>
                <w:kern w:val="0"/>
                <w:sz w:val="18"/>
                <w:szCs w:val="18"/>
                <w:lang w:val="en-US" w:eastAsia="zh-CN" w:bidi="ar"/>
              </w:rPr>
              <w:t>运作管理实务、物流成本管理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FDFE"/>
          <w:tblCellMar>
            <w:top w:w="0" w:type="dxa"/>
            <w:left w:w="0" w:type="dxa"/>
            <w:bottom w:w="0" w:type="dxa"/>
            <w:right w:w="0" w:type="dxa"/>
          </w:tblCellMar>
        </w:tblPrEx>
        <w:tc>
          <w:tcPr>
            <w:tcW w:w="922"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综合实训</w:t>
            </w:r>
          </w:p>
        </w:tc>
        <w:tc>
          <w:tcPr>
            <w:tcW w:w="1211"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物流综合实训中心</w:t>
            </w:r>
          </w:p>
        </w:tc>
        <w:tc>
          <w:tcPr>
            <w:tcW w:w="1114"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综合性模拟环境</w:t>
            </w:r>
          </w:p>
        </w:tc>
        <w:tc>
          <w:tcPr>
            <w:tcW w:w="1354"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物流全流程操作</w:t>
            </w:r>
          </w:p>
        </w:tc>
        <w:tc>
          <w:tcPr>
            <w:tcW w:w="3570"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供应链模拟、物流优化等</w:t>
            </w:r>
          </w:p>
        </w:tc>
        <w:tc>
          <w:tcPr>
            <w:tcW w:w="1019"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cs="宋体"/>
                <w:i w:val="0"/>
                <w:iCs w:val="0"/>
                <w:caps w:val="0"/>
                <w:color w:val="120649"/>
                <w:spacing w:val="0"/>
                <w:kern w:val="0"/>
                <w:sz w:val="18"/>
                <w:szCs w:val="18"/>
                <w:lang w:val="en-US" w:eastAsia="zh-CN" w:bidi="ar"/>
              </w:rPr>
              <w:t>采购与</w:t>
            </w:r>
            <w:r>
              <w:rPr>
                <w:rFonts w:hint="eastAsia" w:ascii="宋体" w:hAnsi="宋体" w:eastAsia="宋体" w:cs="宋体"/>
                <w:i w:val="0"/>
                <w:iCs w:val="0"/>
                <w:caps w:val="0"/>
                <w:color w:val="120649"/>
                <w:spacing w:val="0"/>
                <w:kern w:val="0"/>
                <w:sz w:val="18"/>
                <w:szCs w:val="18"/>
                <w:lang w:val="en-US" w:eastAsia="zh-CN" w:bidi="ar"/>
              </w:rPr>
              <w:t>供应链管理</w:t>
            </w:r>
            <w:r>
              <w:rPr>
                <w:rFonts w:hint="eastAsia" w:ascii="宋体" w:hAnsi="宋体" w:cs="宋体"/>
                <w:i w:val="0"/>
                <w:iCs w:val="0"/>
                <w:caps w:val="0"/>
                <w:color w:val="120649"/>
                <w:spacing w:val="0"/>
                <w:kern w:val="0"/>
                <w:sz w:val="18"/>
                <w:szCs w:val="18"/>
                <w:lang w:val="en-US" w:eastAsia="zh-CN" w:bidi="ar"/>
              </w:rPr>
              <w:t>、物流成本管理</w:t>
            </w:r>
          </w:p>
        </w:tc>
      </w:tr>
    </w:tbl>
    <w:p>
      <w:pPr>
        <w:widowControl/>
        <w:spacing w:line="440" w:lineRule="exac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教室要求</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配备多媒体教学设备，满足物流专业课程理论教学需求</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教室布局合理，适应小组讨论、案例分析等教学活动</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并实施网络安全防护措施；安装应急照明装置并保持良好状态，符合紧急疏散要求，标志明显，保持逃生通道畅通无阻。</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校内实训基地要求（以仓储实训室为例）</w:t>
      </w:r>
    </w:p>
    <w:tbl>
      <w:tblPr>
        <w:tblStyle w:val="10"/>
        <w:tblW w:w="7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FDFE"/>
        <w:tblLayout w:type="fixed"/>
        <w:tblCellMar>
          <w:top w:w="0" w:type="dxa"/>
          <w:left w:w="0" w:type="dxa"/>
          <w:bottom w:w="0" w:type="dxa"/>
          <w:right w:w="0" w:type="dxa"/>
        </w:tblCellMar>
      </w:tblPr>
      <w:tblGrid>
        <w:gridCol w:w="1160"/>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160" w:type="dxa"/>
            <w:shd w:val="clear" w:color="auto" w:fill="F5F7FA"/>
            <w:tcMar>
              <w:top w:w="100" w:type="dxa"/>
              <w:left w:w="60" w:type="dxa"/>
              <w:bottom w:w="100" w:type="dxa"/>
              <w:right w:w="6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001846"/>
                <w:spacing w:val="0"/>
                <w:sz w:val="18"/>
                <w:szCs w:val="18"/>
              </w:rPr>
            </w:pPr>
            <w:r>
              <w:rPr>
                <w:rFonts w:hint="eastAsia" w:ascii="宋体" w:hAnsi="宋体" w:eastAsia="宋体" w:cs="宋体"/>
                <w:i w:val="0"/>
                <w:iCs w:val="0"/>
                <w:caps w:val="0"/>
                <w:color w:val="001846"/>
                <w:spacing w:val="0"/>
                <w:kern w:val="0"/>
                <w:sz w:val="18"/>
                <w:szCs w:val="18"/>
                <w:lang w:val="en-US" w:eastAsia="zh-CN" w:bidi="ar"/>
              </w:rPr>
              <w:t>项目</w:t>
            </w:r>
          </w:p>
        </w:tc>
        <w:tc>
          <w:tcPr>
            <w:tcW w:w="6440" w:type="dxa"/>
            <w:shd w:val="clear" w:color="auto" w:fill="F5F7FA"/>
            <w:tcMar>
              <w:top w:w="100" w:type="dxa"/>
              <w:left w:w="60" w:type="dxa"/>
              <w:bottom w:w="100" w:type="dxa"/>
              <w:right w:w="6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001846"/>
                <w:spacing w:val="0"/>
                <w:sz w:val="18"/>
                <w:szCs w:val="18"/>
              </w:rPr>
            </w:pPr>
            <w:r>
              <w:rPr>
                <w:rFonts w:hint="eastAsia" w:ascii="宋体" w:hAnsi="宋体" w:eastAsia="宋体" w:cs="宋体"/>
                <w:i w:val="0"/>
                <w:iCs w:val="0"/>
                <w:caps w:val="0"/>
                <w:color w:val="001846"/>
                <w:spacing w:val="0"/>
                <w:kern w:val="0"/>
                <w:sz w:val="18"/>
                <w:szCs w:val="18"/>
                <w:lang w:val="en-US" w:eastAsia="zh-CN" w:bidi="ar"/>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FDFE"/>
          <w:tblCellMar>
            <w:top w:w="0" w:type="dxa"/>
            <w:left w:w="0" w:type="dxa"/>
            <w:bottom w:w="0" w:type="dxa"/>
            <w:right w:w="0" w:type="dxa"/>
          </w:tblCellMar>
        </w:tblPrEx>
        <w:trPr>
          <w:jc w:val="center"/>
        </w:trPr>
        <w:tc>
          <w:tcPr>
            <w:tcW w:w="1160"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工位数</w:t>
            </w:r>
          </w:p>
        </w:tc>
        <w:tc>
          <w:tcPr>
            <w:tcW w:w="6440"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至少满足一个班级学生同时实训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FDFE"/>
          <w:tblCellMar>
            <w:top w:w="0" w:type="dxa"/>
            <w:left w:w="0" w:type="dxa"/>
            <w:bottom w:w="0" w:type="dxa"/>
            <w:right w:w="0" w:type="dxa"/>
          </w:tblCellMar>
        </w:tblPrEx>
        <w:trPr>
          <w:jc w:val="center"/>
        </w:trPr>
        <w:tc>
          <w:tcPr>
            <w:tcW w:w="1160"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实训项目</w:t>
            </w:r>
          </w:p>
        </w:tc>
        <w:tc>
          <w:tcPr>
            <w:tcW w:w="6440"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涵盖仓储管理的各个环节，如入库、出库、盘点等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FDFE"/>
          <w:tblCellMar>
            <w:top w:w="0" w:type="dxa"/>
            <w:left w:w="0" w:type="dxa"/>
            <w:bottom w:w="0" w:type="dxa"/>
            <w:right w:w="0" w:type="dxa"/>
          </w:tblCellMar>
        </w:tblPrEx>
        <w:trPr>
          <w:jc w:val="center"/>
        </w:trPr>
        <w:tc>
          <w:tcPr>
            <w:tcW w:w="1160"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设备配置</w:t>
            </w:r>
          </w:p>
        </w:tc>
        <w:tc>
          <w:tcPr>
            <w:tcW w:w="6440" w:type="dxa"/>
            <w:shd w:val="clear" w:color="auto" w:fill="FDFDFE"/>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自动化AGV、货架、叉车、堆高机、打包机等仓储常用设备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FDFE"/>
          <w:tblCellMar>
            <w:top w:w="0" w:type="dxa"/>
            <w:left w:w="0" w:type="dxa"/>
            <w:bottom w:w="0" w:type="dxa"/>
            <w:right w:w="0" w:type="dxa"/>
          </w:tblCellMar>
        </w:tblPrEx>
        <w:trPr>
          <w:jc w:val="center"/>
        </w:trPr>
        <w:tc>
          <w:tcPr>
            <w:tcW w:w="1160"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教学条件</w:t>
            </w:r>
          </w:p>
        </w:tc>
        <w:tc>
          <w:tcPr>
            <w:tcW w:w="6440" w:type="dxa"/>
            <w:shd w:val="clear" w:color="auto" w:fill="F5F7FA"/>
            <w:tcMar>
              <w:top w:w="100" w:type="dxa"/>
              <w:left w:w="100" w:type="dxa"/>
              <w:bottom w:w="100" w:type="dxa"/>
              <w:right w:w="10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i w:val="0"/>
                <w:iCs w:val="0"/>
                <w:caps w:val="0"/>
                <w:color w:val="120649"/>
                <w:spacing w:val="0"/>
                <w:sz w:val="18"/>
                <w:szCs w:val="18"/>
              </w:rPr>
            </w:pPr>
            <w:r>
              <w:rPr>
                <w:rFonts w:hint="eastAsia" w:ascii="宋体" w:hAnsi="宋体" w:eastAsia="宋体" w:cs="宋体"/>
                <w:i w:val="0"/>
                <w:iCs w:val="0"/>
                <w:caps w:val="0"/>
                <w:color w:val="120649"/>
                <w:spacing w:val="0"/>
                <w:kern w:val="0"/>
                <w:sz w:val="18"/>
                <w:szCs w:val="18"/>
                <w:lang w:val="en-US" w:eastAsia="zh-CN" w:bidi="ar"/>
              </w:rPr>
              <w:t>与《仓储与配送管理》等课程描述中的教学条件相匹配</w:t>
            </w:r>
          </w:p>
        </w:tc>
      </w:tr>
    </w:tbl>
    <w:p>
      <w:pPr>
        <w:widowControl/>
        <w:spacing w:line="440" w:lineRule="exact"/>
        <w:jc w:val="left"/>
        <w:rPr>
          <w:rFonts w:hint="eastAsia" w:ascii="宋体" w:hAnsi="宋体" w:cs="宋体"/>
          <w:color w:val="000000"/>
          <w:kern w:val="0"/>
          <w:sz w:val="18"/>
          <w:szCs w:val="18"/>
        </w:rPr>
      </w:pPr>
    </w:p>
    <w:p>
      <w:pPr>
        <w:widowControl/>
        <w:spacing w:line="440" w:lineRule="exac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校外实习实训基地要求</w:t>
      </w:r>
    </w:p>
    <w:p>
      <w:pPr>
        <w:widowControl/>
        <w:spacing w:line="440" w:lineRule="exact"/>
        <w:ind w:firstLine="480" w:firstLineChars="20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rPr>
        <w:t>满足认识实习、跟岗实习、顶岗实习教学需求，提供真实工作环境</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匹配工学交替、分段式、学徒制等教学模式，提供合适的实习岗位</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实习实训基地单位需具备相应资质，有良好的诚信状况和管理水平</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配备专业的教学师资，提供实习指导和技能培训</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实习岗位性质和内容需与物流专业相关，具有一定的挑战性和学习价值</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工作环境和生活环境安全、健康、舒适，符合相关标准和规定。</w:t>
      </w:r>
      <w:r>
        <w:rPr>
          <w:rFonts w:hint="eastAsia" w:ascii="宋体" w:hAnsi="宋体" w:cs="宋体"/>
          <w:color w:val="000000"/>
          <w:kern w:val="0"/>
          <w:sz w:val="24"/>
          <w:szCs w:val="24"/>
          <w:lang w:eastAsia="zh-CN"/>
        </w:rPr>
        <w:t>充分利用好林森物流集团有限公司、江苏顺丰通讯服务有限公司、京东物流等已有校外实习企业资源。</w:t>
      </w:r>
    </w:p>
    <w:p>
      <w:pPr>
        <w:pStyle w:val="3"/>
        <w:ind w:firstLine="360" w:firstLineChars="200"/>
        <w:jc w:val="center"/>
        <w:rPr>
          <w:rFonts w:hint="eastAsia"/>
          <w:sz w:val="18"/>
          <w:szCs w:val="18"/>
        </w:rPr>
      </w:pPr>
    </w:p>
    <w:p>
      <w:pPr>
        <w:pStyle w:val="3"/>
        <w:ind w:firstLine="360" w:firstLineChars="200"/>
        <w:jc w:val="center"/>
        <w:rPr>
          <w:sz w:val="18"/>
          <w:szCs w:val="18"/>
        </w:rPr>
      </w:pPr>
      <w:r>
        <w:rPr>
          <w:rFonts w:hint="eastAsia"/>
          <w:sz w:val="18"/>
          <w:szCs w:val="18"/>
        </w:rPr>
        <w:t>表10：</w:t>
      </w:r>
      <w:r>
        <w:rPr>
          <w:rFonts w:hint="eastAsia"/>
          <w:sz w:val="18"/>
          <w:szCs w:val="18"/>
          <w:lang w:eastAsia="zh-CN"/>
        </w:rPr>
        <w:t>现代物流管理</w:t>
      </w:r>
      <w:r>
        <w:rPr>
          <w:rFonts w:hint="eastAsia"/>
          <w:sz w:val="18"/>
          <w:szCs w:val="18"/>
        </w:rPr>
        <w:t>专业校外实训基地一览表</w:t>
      </w:r>
    </w:p>
    <w:tbl>
      <w:tblPr>
        <w:tblStyle w:val="10"/>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2777"/>
        <w:gridCol w:w="3270"/>
        <w:gridCol w:w="1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118" w:type="dxa"/>
            <w:vAlign w:val="center"/>
          </w:tcPr>
          <w:p>
            <w:pPr>
              <w:pStyle w:val="20"/>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序号</w:t>
            </w:r>
          </w:p>
        </w:tc>
        <w:tc>
          <w:tcPr>
            <w:tcW w:w="2777" w:type="dxa"/>
            <w:vAlign w:val="center"/>
          </w:tcPr>
          <w:p>
            <w:pPr>
              <w:pStyle w:val="20"/>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校外实训单位名称</w:t>
            </w:r>
          </w:p>
        </w:tc>
        <w:tc>
          <w:tcPr>
            <w:tcW w:w="3270" w:type="dxa"/>
            <w:vAlign w:val="center"/>
          </w:tcPr>
          <w:p>
            <w:pPr>
              <w:pStyle w:val="20"/>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基地功能</w:t>
            </w:r>
          </w:p>
        </w:tc>
        <w:tc>
          <w:tcPr>
            <w:tcW w:w="1455" w:type="dxa"/>
            <w:vAlign w:val="center"/>
          </w:tcPr>
          <w:p>
            <w:pPr>
              <w:pStyle w:val="20"/>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容纳人数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1118" w:type="dxa"/>
            <w:vAlign w:val="center"/>
          </w:tcPr>
          <w:p>
            <w:pPr>
              <w:pStyle w:val="20"/>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1</w:t>
            </w:r>
          </w:p>
        </w:tc>
        <w:tc>
          <w:tcPr>
            <w:tcW w:w="2777" w:type="dxa"/>
            <w:vAlign w:val="center"/>
          </w:tcPr>
          <w:p>
            <w:pPr>
              <w:pStyle w:val="20"/>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林森物流集团有限公司</w:t>
            </w:r>
          </w:p>
        </w:tc>
        <w:tc>
          <w:tcPr>
            <w:tcW w:w="3270" w:type="dxa"/>
            <w:vAlign w:val="center"/>
          </w:tcPr>
          <w:p>
            <w:pPr>
              <w:pStyle w:val="20"/>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物流业务实习、就业</w:t>
            </w:r>
          </w:p>
        </w:tc>
        <w:tc>
          <w:tcPr>
            <w:tcW w:w="1455" w:type="dxa"/>
            <w:vAlign w:val="center"/>
          </w:tcPr>
          <w:p>
            <w:pPr>
              <w:pStyle w:val="20"/>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118" w:type="dxa"/>
            <w:vAlign w:val="center"/>
          </w:tcPr>
          <w:p>
            <w:pPr>
              <w:pStyle w:val="20"/>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2</w:t>
            </w:r>
          </w:p>
        </w:tc>
        <w:tc>
          <w:tcPr>
            <w:tcW w:w="2777" w:type="dxa"/>
            <w:vAlign w:val="center"/>
          </w:tcPr>
          <w:p>
            <w:pPr>
              <w:pStyle w:val="20"/>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京东物流公司</w:t>
            </w:r>
          </w:p>
        </w:tc>
        <w:tc>
          <w:tcPr>
            <w:tcW w:w="3270" w:type="dxa"/>
            <w:vAlign w:val="center"/>
          </w:tcPr>
          <w:p>
            <w:pPr>
              <w:pStyle w:val="20"/>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物流业务实习、就业</w:t>
            </w:r>
          </w:p>
        </w:tc>
        <w:tc>
          <w:tcPr>
            <w:tcW w:w="1455" w:type="dxa"/>
            <w:vAlign w:val="center"/>
          </w:tcPr>
          <w:p>
            <w:pPr>
              <w:pStyle w:val="20"/>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1118" w:type="dxa"/>
            <w:vAlign w:val="center"/>
          </w:tcPr>
          <w:p>
            <w:pPr>
              <w:pStyle w:val="20"/>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3</w:t>
            </w:r>
          </w:p>
        </w:tc>
        <w:tc>
          <w:tcPr>
            <w:tcW w:w="2777" w:type="dxa"/>
            <w:vAlign w:val="center"/>
          </w:tcPr>
          <w:p>
            <w:pPr>
              <w:pStyle w:val="20"/>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江苏顺丰通讯有限公司</w:t>
            </w:r>
          </w:p>
        </w:tc>
        <w:tc>
          <w:tcPr>
            <w:tcW w:w="3270" w:type="dxa"/>
            <w:vAlign w:val="center"/>
          </w:tcPr>
          <w:p>
            <w:pPr>
              <w:pStyle w:val="20"/>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物流、客服实习、就业</w:t>
            </w:r>
          </w:p>
        </w:tc>
        <w:tc>
          <w:tcPr>
            <w:tcW w:w="1455" w:type="dxa"/>
            <w:vAlign w:val="center"/>
          </w:tcPr>
          <w:p>
            <w:pPr>
              <w:pStyle w:val="20"/>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30</w:t>
            </w:r>
          </w:p>
        </w:tc>
      </w:tr>
    </w:tbl>
    <w:p>
      <w:pPr>
        <w:widowControl/>
        <w:spacing w:line="440" w:lineRule="exact"/>
        <w:ind w:firstLine="480" w:firstLineChars="200"/>
        <w:jc w:val="left"/>
        <w:rPr>
          <w:rFonts w:hint="eastAsia" w:ascii="宋体" w:hAnsi="宋体" w:cs="宋体"/>
          <w:color w:val="000000"/>
          <w:kern w:val="0"/>
          <w:sz w:val="24"/>
          <w:szCs w:val="24"/>
          <w:lang w:eastAsia="zh-CN"/>
        </w:rPr>
      </w:pP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仿真、模拟实习实训基地建设规划</w:t>
      </w:r>
    </w:p>
    <w:p>
      <w:pPr>
        <w:widowControl/>
        <w:spacing w:line="440" w:lineRule="exac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引进先进的仿真、模拟软件和设备，构建虚拟实训环境。仿真实训项目需涵盖物流专业的核心技能和业务流程</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仿真、模拟实训基地需与校内、校外实训基地形成互补，提供多样化的实训方式</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定期对仿真、模拟实训基地进行更新和升级，保持与物流行业发展的同步。</w:t>
      </w:r>
    </w:p>
    <w:p>
      <w:pPr>
        <w:widowControl/>
        <w:spacing w:line="440" w:lineRule="exact"/>
        <w:ind w:firstLine="420"/>
        <w:jc w:val="left"/>
        <w:rPr>
          <w:rFonts w:ascii="宋体" w:hAnsi="宋体" w:cs="宋体"/>
          <w:b/>
          <w:color w:val="000000"/>
          <w:kern w:val="0"/>
          <w:sz w:val="24"/>
          <w:szCs w:val="24"/>
        </w:rPr>
      </w:pPr>
      <w:r>
        <w:rPr>
          <w:rFonts w:hint="eastAsia" w:ascii="宋体" w:hAnsi="宋体" w:cs="宋体"/>
          <w:b/>
          <w:color w:val="000000"/>
          <w:kern w:val="0"/>
          <w:sz w:val="24"/>
          <w:szCs w:val="24"/>
        </w:rPr>
        <w:t>（三）教学</w:t>
      </w:r>
      <w:r>
        <w:rPr>
          <w:rFonts w:ascii="宋体" w:hAnsi="宋体" w:cs="宋体"/>
          <w:b/>
          <w:color w:val="000000"/>
          <w:kern w:val="0"/>
          <w:sz w:val="24"/>
          <w:szCs w:val="24"/>
        </w:rPr>
        <w:t>资源</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教学资源主要包括满足学生专业学习、教师专业教学研究和教学实施所需的教材、图书文献及数字教学资源等。</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1.教材选用</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规范教材建设和选用制度，按照国家规定选用优质教材，禁止不合格的教材进入课堂。根据现代物流管理专业人才培养目标及课程教学要求，优先从国家级或省级规划教材目录中选用教材。学校建立由专业教师、行业专家和教研人员等参与的教材选用机构，完善的教材选用制度，经过规范程序择优选用教材。专业老师积极加强新形态一体化教材建设，以学生为中心、以能力为本位、以数字资源为支撑，与企业合作开发技改课程，并加强校企双元开发特色鲜明的教材。</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2.图书文献配备</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图书文献配备能满足人才培养、专业建设、教科研等工作的需要，方便师生查询、借阅。专业类图书与文献主要包括：有关物流行业各类国家标准，现代物流管理技术、方法、思维及实务操作类图书，经济、管理、营销、信息技术和文化类文献等。</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3.数字教学资源配置</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依托职业教育现代物流管理专业国家教学资源库项目，专业核心课程数字资源应做到系统、完整、优质，主要包括课程介绍、课程标准、教学设计、教学课件、教学视频、电子教材、习题库、案例库、实训项目、参考资料等，同时保持动态更新。</w:t>
      </w:r>
    </w:p>
    <w:p>
      <w:pPr>
        <w:widowControl/>
        <w:spacing w:line="440" w:lineRule="exact"/>
        <w:ind w:firstLine="241" w:firstLineChars="100"/>
        <w:jc w:val="left"/>
        <w:rPr>
          <w:rFonts w:hint="eastAsia" w:ascii="宋体" w:hAnsi="宋体" w:cs="宋体"/>
          <w:color w:val="000000"/>
          <w:kern w:val="0"/>
          <w:sz w:val="24"/>
          <w:szCs w:val="24"/>
        </w:rPr>
      </w:pPr>
      <w:r>
        <w:rPr>
          <w:rFonts w:hint="eastAsia" w:ascii="宋体" w:hAnsi="宋体" w:cs="宋体"/>
          <w:b/>
          <w:color w:val="000000"/>
          <w:kern w:val="0"/>
          <w:sz w:val="24"/>
          <w:szCs w:val="24"/>
        </w:rPr>
        <w:t>（四）教学</w:t>
      </w:r>
      <w:r>
        <w:rPr>
          <w:rFonts w:ascii="宋体" w:hAnsi="宋体" w:cs="宋体"/>
          <w:b/>
          <w:color w:val="000000"/>
          <w:kern w:val="0"/>
          <w:sz w:val="24"/>
          <w:szCs w:val="24"/>
        </w:rPr>
        <w:t>方法</w:t>
      </w:r>
    </w:p>
    <w:p>
      <w:pPr>
        <w:widowControl/>
        <w:spacing w:line="440" w:lineRule="exac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教学方法的具体要求与建议</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项目教学：鼓励学生通过参与实际或模拟的物流项目，将理论知识与实践操作相结合，培养学生的团队协作能力和解决实际问题的能力。建议教师设计具有挑战性和实践性的项目任务，并引导学生完成。</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案例教学：通过引入真实或模拟的物流案例，帮助学生理解物流行业的运作模式和业务流程。教师可以选择具有代表性和启发性的案例，引导学生进行分析和讨论，以提升学生的批判性思维和决策能力。</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情景教学：通过创设具体的物流工作场景，让学生在模拟的环境中学习和体验物流操作。这种教学方法能够增强学生的参与感和代入感，提高学生的学习兴趣和积极性。</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工作过程导向教学：将教学过程与物流工作的实际过程相结合，使学生能够在学习过程中了解物流工作的整体流程和各个环节的具体要求。这有助于学生更好地适应未来的工作环境和岗位要求。</w:t>
      </w:r>
    </w:p>
    <w:p>
      <w:pPr>
        <w:widowControl/>
        <w:spacing w:line="440" w:lineRule="exac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教学模式的推广</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混合式教学：结合线上和线下的教学资源，通过线上预习、线下讲解、线上复习等方式，提高教学效果和学生的学习效率。教师可以利用在线课程、学习平台等工具，为学生提供更加丰富和便捷的学习资源。</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模块化教学：将物流专业的课程按照知识点和技能点进行模块化划分，每个模块都包含独立的教学内容和评估标准。这种教学模式有利于学生根据自己的学习进度和兴趣选择适合自己的学习模块，提高学习的针对性和实效性。</w:t>
      </w:r>
    </w:p>
    <w:p>
      <w:pPr>
        <w:widowControl/>
        <w:spacing w:line="440" w:lineRule="exac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教学手段的推广</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现代技术在教学中的应用：推广大数据、人工智能、虚拟现实等现代信息技术在教育教学中的应用。利用这些技术可以为学生提供更加生动、直观、高效的学习体验，同时也可以帮助教师更好地掌握学生的学习情况和教学效果。</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信息化教学模式的推广：推广远程协作、实时交互、翻转课堂、移动学习等信息化教学模式。这些教学模式能够打破时间和空间的限制，使学生可以随时随地进行学习，同时也能够增强师生之间的交流和互动，提高教学效果和学习效率。</w:t>
      </w:r>
    </w:p>
    <w:p>
      <w:pPr>
        <w:widowControl/>
        <w:spacing w:line="440" w:lineRule="exact"/>
        <w:ind w:firstLine="420"/>
        <w:jc w:val="left"/>
        <w:rPr>
          <w:rFonts w:ascii="宋体" w:hAnsi="宋体" w:cs="宋体"/>
          <w:b/>
          <w:color w:val="000000"/>
          <w:kern w:val="0"/>
          <w:sz w:val="24"/>
          <w:szCs w:val="24"/>
        </w:rPr>
      </w:pPr>
      <w:r>
        <w:rPr>
          <w:rFonts w:hint="eastAsia" w:ascii="宋体" w:hAnsi="宋体" w:cs="宋体"/>
          <w:b/>
          <w:color w:val="000000"/>
          <w:kern w:val="0"/>
          <w:sz w:val="24"/>
          <w:szCs w:val="24"/>
        </w:rPr>
        <w:t>（五）学习</w:t>
      </w:r>
      <w:r>
        <w:rPr>
          <w:rFonts w:ascii="宋体" w:hAnsi="宋体" w:cs="宋体"/>
          <w:b/>
          <w:color w:val="000000"/>
          <w:kern w:val="0"/>
          <w:sz w:val="24"/>
          <w:szCs w:val="24"/>
        </w:rPr>
        <w:t>评价</w:t>
      </w:r>
    </w:p>
    <w:p>
      <w:pPr>
        <w:spacing w:line="360" w:lineRule="auto"/>
        <w:ind w:firstLine="480" w:firstLineChars="200"/>
        <w:rPr>
          <w:kern w:val="24"/>
          <w:sz w:val="24"/>
        </w:rPr>
      </w:pPr>
      <w:r>
        <w:rPr>
          <w:kern w:val="24"/>
          <w:sz w:val="24"/>
        </w:rPr>
        <w:t>1</w:t>
      </w:r>
      <w:r>
        <w:rPr>
          <w:rFonts w:hint="eastAsia"/>
          <w:kern w:val="24"/>
          <w:sz w:val="24"/>
        </w:rPr>
        <w:t>．</w:t>
      </w:r>
      <w:r>
        <w:rPr>
          <w:kern w:val="24"/>
          <w:sz w:val="24"/>
        </w:rPr>
        <w:t>学生学业评价</w:t>
      </w:r>
    </w:p>
    <w:p>
      <w:pPr>
        <w:spacing w:line="360" w:lineRule="auto"/>
        <w:ind w:firstLine="480" w:firstLineChars="200"/>
        <w:rPr>
          <w:kern w:val="24"/>
          <w:sz w:val="24"/>
        </w:rPr>
      </w:pPr>
      <w:r>
        <w:rPr>
          <w:kern w:val="24"/>
          <w:sz w:val="24"/>
        </w:rPr>
        <w:t>坚持课程的过程性和实践性考核，不断改革和完善学生学业成绩的评价制度，根据课程性质和课程定位，对学生学业成绩进行分类评价，强化对学生自主学习能力的考核评价，鼓励开展线上线下学习成果的多元评价。理论性课程成绩包括期末成绩和平时成绩，平时成绩包括视频课件学习、测验作业、课堂提问和讨论、</w:t>
      </w:r>
      <w:r>
        <w:rPr>
          <w:rFonts w:hint="eastAsia"/>
          <w:kern w:val="24"/>
          <w:sz w:val="24"/>
        </w:rPr>
        <w:t>调研报告</w:t>
      </w:r>
      <w:r>
        <w:rPr>
          <w:kern w:val="24"/>
          <w:sz w:val="24"/>
        </w:rPr>
        <w:t>等。实践性课程成绩创新评价制度，注重实践性考核。平时成绩包括作业、课堂提问和讨论；实践操作环节以视频、音频、文字材料等形式进行保存，每门课程的实践操作环节有详细的操作要求和规范的评分标准，每次实践操作环节有必要的反馈。</w:t>
      </w:r>
    </w:p>
    <w:p>
      <w:pPr>
        <w:spacing w:line="360" w:lineRule="auto"/>
        <w:ind w:firstLine="480" w:firstLineChars="200"/>
        <w:rPr>
          <w:kern w:val="24"/>
          <w:sz w:val="24"/>
        </w:rPr>
      </w:pPr>
      <w:r>
        <w:rPr>
          <w:kern w:val="24"/>
          <w:sz w:val="24"/>
        </w:rPr>
        <w:t>2</w:t>
      </w:r>
      <w:r>
        <w:rPr>
          <w:rFonts w:hint="eastAsia"/>
          <w:kern w:val="24"/>
          <w:sz w:val="24"/>
        </w:rPr>
        <w:t>．</w:t>
      </w:r>
      <w:r>
        <w:rPr>
          <w:kern w:val="24"/>
          <w:sz w:val="24"/>
        </w:rPr>
        <w:t>第三方评价</w:t>
      </w:r>
    </w:p>
    <w:p>
      <w:pPr>
        <w:spacing w:line="360" w:lineRule="auto"/>
        <w:ind w:firstLine="480" w:firstLineChars="200"/>
        <w:rPr>
          <w:kern w:val="24"/>
          <w:sz w:val="24"/>
        </w:rPr>
      </w:pPr>
      <w:r>
        <w:rPr>
          <w:kern w:val="24"/>
          <w:sz w:val="24"/>
        </w:rPr>
        <w:t>行业、企业对毕业生的评价是人才培养质量评价体系重要的环节，本专业定期、不定期地了解行业、企业等对毕业生的评价，努力建立和完善第三方对人才培养质量评价制度，主要包括：</w:t>
      </w:r>
    </w:p>
    <w:p>
      <w:pPr>
        <w:spacing w:line="360" w:lineRule="auto"/>
        <w:ind w:firstLine="480" w:firstLineChars="200"/>
        <w:rPr>
          <w:kern w:val="24"/>
          <w:sz w:val="24"/>
        </w:rPr>
      </w:pPr>
      <w:r>
        <w:rPr>
          <w:kern w:val="24"/>
          <w:sz w:val="24"/>
        </w:rPr>
        <w:t>（1）应届毕业生顶岗实习及就业情况调查</w:t>
      </w:r>
    </w:p>
    <w:p>
      <w:pPr>
        <w:spacing w:line="360" w:lineRule="auto"/>
        <w:ind w:firstLine="480" w:firstLineChars="200"/>
        <w:rPr>
          <w:kern w:val="24"/>
          <w:sz w:val="24"/>
        </w:rPr>
      </w:pPr>
      <w:r>
        <w:rPr>
          <w:kern w:val="24"/>
          <w:sz w:val="24"/>
        </w:rPr>
        <w:t>在每年应届毕业生顶岗实习阶段对若干个实习单位进行调查，主要了解毕业设计、顶岗实习、就业情况等方面的情况；</w:t>
      </w:r>
    </w:p>
    <w:p>
      <w:pPr>
        <w:spacing w:line="360" w:lineRule="auto"/>
        <w:ind w:firstLine="480" w:firstLineChars="200"/>
        <w:rPr>
          <w:kern w:val="24"/>
          <w:sz w:val="24"/>
        </w:rPr>
      </w:pPr>
      <w:r>
        <w:rPr>
          <w:kern w:val="24"/>
          <w:sz w:val="24"/>
        </w:rPr>
        <w:t>（2）每年毕业生随访制度</w:t>
      </w:r>
    </w:p>
    <w:p>
      <w:pPr>
        <w:spacing w:line="360" w:lineRule="auto"/>
        <w:ind w:firstLine="480" w:firstLineChars="200"/>
        <w:rPr>
          <w:kern w:val="24"/>
          <w:sz w:val="24"/>
        </w:rPr>
      </w:pPr>
      <w:r>
        <w:rPr>
          <w:kern w:val="24"/>
          <w:sz w:val="24"/>
        </w:rPr>
        <w:t>每年随机对前一届毕业生所在单位进行重点访问，主要了解用人单位对毕业生满意度和认可度、毕业生专业知识和专业技能的适用性等方面；</w:t>
      </w:r>
    </w:p>
    <w:p>
      <w:pPr>
        <w:spacing w:line="360" w:lineRule="auto"/>
        <w:ind w:firstLine="480" w:firstLineChars="200"/>
        <w:rPr>
          <w:kern w:val="24"/>
          <w:sz w:val="24"/>
        </w:rPr>
      </w:pPr>
      <w:r>
        <w:rPr>
          <w:kern w:val="24"/>
          <w:sz w:val="24"/>
        </w:rPr>
        <w:t>（3）毕业生五年后调查</w:t>
      </w:r>
    </w:p>
    <w:p>
      <w:pPr>
        <w:spacing w:line="360" w:lineRule="auto"/>
        <w:ind w:firstLine="480" w:firstLineChars="200"/>
        <w:rPr>
          <w:kern w:val="24"/>
          <w:sz w:val="24"/>
        </w:rPr>
      </w:pPr>
      <w:r>
        <w:rPr>
          <w:kern w:val="24"/>
          <w:sz w:val="24"/>
        </w:rPr>
        <w:t>主要调查学生的工作岗位、岗位发展情况、收入情况、工作满意度、毕业后岗位更换次数、工作适应情况等。</w:t>
      </w:r>
    </w:p>
    <w:p>
      <w:pPr>
        <w:keepNext w:val="0"/>
        <w:keepLines w:val="0"/>
        <w:pageBreakBefore w:val="0"/>
        <w:widowControl/>
        <w:kinsoku/>
        <w:wordWrap/>
        <w:overflowPunct/>
        <w:topLinePunct w:val="0"/>
        <w:autoSpaceDE/>
        <w:autoSpaceDN/>
        <w:bidi w:val="0"/>
        <w:adjustRightInd/>
        <w:spacing w:line="440" w:lineRule="exact"/>
        <w:ind w:firstLine="420"/>
        <w:jc w:val="left"/>
        <w:textAlignment w:val="auto"/>
        <w:rPr>
          <w:rFonts w:ascii="宋体" w:hAnsi="宋体" w:cs="宋体"/>
          <w:b/>
          <w:color w:val="000000"/>
          <w:kern w:val="0"/>
          <w:sz w:val="24"/>
          <w:szCs w:val="24"/>
        </w:rPr>
      </w:pPr>
      <w:r>
        <w:rPr>
          <w:rFonts w:hint="eastAsia" w:ascii="宋体" w:hAnsi="宋体" w:cs="宋体"/>
          <w:b/>
          <w:color w:val="000000"/>
          <w:kern w:val="0"/>
          <w:sz w:val="24"/>
          <w:szCs w:val="24"/>
        </w:rPr>
        <w:t>（六）质量</w:t>
      </w:r>
      <w:r>
        <w:rPr>
          <w:rFonts w:ascii="宋体" w:hAnsi="宋体" w:cs="宋体"/>
          <w:b/>
          <w:color w:val="000000"/>
          <w:kern w:val="0"/>
          <w:sz w:val="24"/>
          <w:szCs w:val="24"/>
        </w:rPr>
        <w:t>管理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1.确立</w:t>
      </w:r>
      <w:r>
        <w:rPr>
          <w:rFonts w:hint="eastAsia" w:ascii="宋体" w:hAnsi="宋体" w:cs="宋体"/>
          <w:color w:val="000000"/>
          <w:kern w:val="0"/>
          <w:sz w:val="24"/>
          <w:szCs w:val="24"/>
        </w:rPr>
        <w:t>自我诊断与持续质量改进的理念</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在质量管理体系中，自我诊断和持续质量改进是核心理念。这意味着组织应不断审视其内部流程、产品和服务，以识别存在的问题和潜在风险，并采取措施进行改进。这种理念要求组织具备自我反思和持续学习的能力，以实现质量的持续提升。</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2.建立</w:t>
      </w:r>
      <w:r>
        <w:rPr>
          <w:rFonts w:hint="eastAsia" w:ascii="宋体" w:hAnsi="宋体" w:cs="宋体"/>
          <w:color w:val="000000"/>
          <w:kern w:val="0"/>
          <w:sz w:val="24"/>
          <w:szCs w:val="24"/>
        </w:rPr>
        <w:t>质量管理机构</w:t>
      </w:r>
      <w:r>
        <w:rPr>
          <w:rFonts w:hint="eastAsia" w:ascii="宋体" w:hAnsi="宋体" w:cs="宋体"/>
          <w:color w:val="000000"/>
          <w:kern w:val="0"/>
          <w:sz w:val="24"/>
          <w:szCs w:val="24"/>
          <w:lang w:eastAsia="zh-CN"/>
        </w:rPr>
        <w:t>与相关制度</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为确保质量管理体系的有效运行，需要建立一个清晰、高效的质量管理机构结构。该结构通常包括以下几个层次：</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质量管理委员会：负责制定质量管理政策、目标和计划，并监督其实施情况。委员会成员应来自不同的部门和领域，以确保决策的全面性和客观性。</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质量管理部门：负责具体的质量管理活动，如质量控制、质量评估、质量改进等。该部门应具备专业的知识和技能，以确保各项质量管理活动的有效执行。</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学院、系部、教研室等基层组织：作为质量管理体系的基层单位，负责实施具体的质量管理措施，如教学质量监控、课程质量评估等。这些基层组织应积极参与质量管理活动，并向上级反馈问题和建议。</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3.建立</w:t>
      </w:r>
      <w:r>
        <w:rPr>
          <w:rFonts w:hint="eastAsia" w:ascii="宋体" w:hAnsi="宋体" w:cs="宋体"/>
          <w:color w:val="000000"/>
          <w:kern w:val="0"/>
          <w:sz w:val="24"/>
          <w:szCs w:val="24"/>
        </w:rPr>
        <w:t>校内质量</w:t>
      </w:r>
      <w:r>
        <w:rPr>
          <w:rFonts w:hint="eastAsia" w:ascii="宋体" w:hAnsi="宋体" w:cs="宋体"/>
          <w:color w:val="000000"/>
          <w:kern w:val="0"/>
          <w:sz w:val="24"/>
          <w:szCs w:val="24"/>
          <w:lang w:eastAsia="zh-CN"/>
        </w:rPr>
        <w:t>保障管理体系</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校内质量管理是质量管理体系的重要组成部分，涉及学院、系部、教研室和教师等各个层面。具体实践包括：</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lang w:eastAsia="zh-CN"/>
        </w:rPr>
        <w:t>校级</w:t>
      </w:r>
      <w:r>
        <w:rPr>
          <w:rFonts w:hint="eastAsia" w:ascii="宋体" w:hAnsi="宋体" w:cs="宋体"/>
          <w:color w:val="000000"/>
          <w:kern w:val="0"/>
          <w:sz w:val="24"/>
          <w:szCs w:val="24"/>
        </w:rPr>
        <w:t>层面：制定</w:t>
      </w:r>
      <w:r>
        <w:rPr>
          <w:rFonts w:hint="eastAsia" w:ascii="宋体" w:hAnsi="宋体" w:cs="宋体"/>
          <w:color w:val="000000"/>
          <w:kern w:val="0"/>
          <w:sz w:val="24"/>
          <w:szCs w:val="24"/>
          <w:lang w:eastAsia="zh-CN"/>
        </w:rPr>
        <w:t>梯级</w:t>
      </w:r>
      <w:r>
        <w:rPr>
          <w:rFonts w:hint="eastAsia" w:ascii="宋体" w:hAnsi="宋体" w:cs="宋体"/>
          <w:color w:val="000000"/>
          <w:kern w:val="0"/>
          <w:sz w:val="24"/>
          <w:szCs w:val="24"/>
        </w:rPr>
        <w:t>层面的质量管理政策和目标，并监督其实施情况。同时，学院应加强与</w:t>
      </w:r>
      <w:r>
        <w:rPr>
          <w:rFonts w:hint="eastAsia" w:ascii="宋体" w:hAnsi="宋体" w:cs="宋体"/>
          <w:color w:val="000000"/>
          <w:kern w:val="0"/>
          <w:sz w:val="24"/>
          <w:szCs w:val="24"/>
          <w:lang w:eastAsia="zh-CN"/>
        </w:rPr>
        <w:t>学院</w:t>
      </w:r>
      <w:r>
        <w:rPr>
          <w:rFonts w:hint="eastAsia" w:ascii="宋体" w:hAnsi="宋体" w:cs="宋体"/>
          <w:color w:val="000000"/>
          <w:kern w:val="0"/>
          <w:sz w:val="24"/>
          <w:szCs w:val="24"/>
        </w:rPr>
        <w:t>、教研室等基层组织的沟通和协作，共同推进质量管理工作的深入开展。</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lang w:eastAsia="zh-CN"/>
        </w:rPr>
        <w:t>院级</w:t>
      </w:r>
      <w:r>
        <w:rPr>
          <w:rFonts w:hint="eastAsia" w:ascii="宋体" w:hAnsi="宋体" w:cs="宋体"/>
          <w:color w:val="000000"/>
          <w:kern w:val="0"/>
          <w:sz w:val="24"/>
          <w:szCs w:val="24"/>
        </w:rPr>
        <w:t>层面：根据学院的质量管理政策和目标，制定</w:t>
      </w:r>
      <w:r>
        <w:rPr>
          <w:rFonts w:hint="eastAsia" w:ascii="宋体" w:hAnsi="宋体" w:cs="宋体"/>
          <w:color w:val="000000"/>
          <w:kern w:val="0"/>
          <w:sz w:val="24"/>
          <w:szCs w:val="24"/>
          <w:lang w:eastAsia="zh-CN"/>
        </w:rPr>
        <w:t>院级</w:t>
      </w:r>
      <w:r>
        <w:rPr>
          <w:rFonts w:hint="eastAsia" w:ascii="宋体" w:hAnsi="宋体" w:cs="宋体"/>
          <w:color w:val="000000"/>
          <w:kern w:val="0"/>
          <w:sz w:val="24"/>
          <w:szCs w:val="24"/>
        </w:rPr>
        <w:t>层面的具体质量管理措施。定期组织教学质量评估、课程质量评估等活动，及时发现问题并采取措施进行改进。</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教研室层面：教研室是教学质量管理的基层单位，应积极开展教学研究和教学改革活动，提高教师的教学水平和教学质量。同时，教研室应加强对教学过程的监控和管理，确保教学质量符合要求。</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教师层面：教师应树立质量意识，积极参与教学质量管理和改进活动。教师应关注学生的学习需求和反馈，及时调整教学方法和手段，提高教学效果。同时，教师应加强自我学习和提高，不断提升自己的专业素养和教学能力。</w:t>
      </w:r>
    </w:p>
    <w:p>
      <w:pPr>
        <w:snapToGrid w:val="0"/>
        <w:spacing w:line="560" w:lineRule="exact"/>
        <w:ind w:firstLine="480" w:firstLineChars="200"/>
        <w:rPr>
          <w:rFonts w:hint="default" w:ascii="宋体" w:hAnsi="宋体" w:eastAsia="宋体" w:cs="宋体"/>
          <w:color w:val="000000"/>
          <w:kern w:val="0"/>
          <w:sz w:val="21"/>
          <w:szCs w:val="21"/>
          <w:lang w:val="en-US" w:eastAsia="zh-CN"/>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1"/>
          <w:szCs w:val="21"/>
          <w:lang w:val="en-US" w:eastAsia="zh-CN"/>
        </w:rPr>
        <w:t>表11现代物流管理专业</w:t>
      </w:r>
      <w:r>
        <w:rPr>
          <w:kern w:val="24"/>
          <w:sz w:val="21"/>
          <w:szCs w:val="21"/>
        </w:rPr>
        <w:t>人才培养质量评价指标体系</w:t>
      </w:r>
    </w:p>
    <w:tbl>
      <w:tblPr>
        <w:tblStyle w:val="10"/>
        <w:tblW w:w="87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552"/>
        <w:gridCol w:w="977"/>
        <w:gridCol w:w="6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Align w:val="top"/>
          </w:tcPr>
          <w:p>
            <w:pPr>
              <w:spacing w:line="0" w:lineRule="atLeast"/>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1529" w:type="dxa"/>
            <w:gridSpan w:val="2"/>
            <w:vAlign w:val="top"/>
          </w:tcPr>
          <w:p>
            <w:pPr>
              <w:spacing w:line="0" w:lineRule="atLeast"/>
              <w:jc w:val="center"/>
              <w:rPr>
                <w:rFonts w:hint="eastAsia" w:ascii="宋体" w:hAnsi="宋体" w:eastAsia="宋体" w:cs="宋体"/>
                <w:b/>
                <w:sz w:val="18"/>
                <w:szCs w:val="18"/>
              </w:rPr>
            </w:pPr>
            <w:r>
              <w:rPr>
                <w:rFonts w:hint="eastAsia" w:ascii="宋体" w:hAnsi="宋体" w:eastAsia="宋体" w:cs="宋体"/>
                <w:b/>
                <w:sz w:val="18"/>
                <w:szCs w:val="18"/>
              </w:rPr>
              <w:t>指标</w:t>
            </w:r>
          </w:p>
        </w:tc>
        <w:tc>
          <w:tcPr>
            <w:tcW w:w="6551" w:type="dxa"/>
            <w:vAlign w:val="top"/>
          </w:tcPr>
          <w:p>
            <w:pPr>
              <w:spacing w:line="0" w:lineRule="atLeast"/>
              <w:jc w:val="center"/>
              <w:rPr>
                <w:rFonts w:hint="eastAsia" w:ascii="宋体" w:hAnsi="宋体" w:eastAsia="宋体" w:cs="宋体"/>
                <w:b/>
                <w:sz w:val="18"/>
                <w:szCs w:val="18"/>
              </w:rPr>
            </w:pPr>
            <w:r>
              <w:rPr>
                <w:rFonts w:hint="eastAsia" w:ascii="宋体" w:hAnsi="宋体" w:eastAsia="宋体" w:cs="宋体"/>
                <w:b/>
                <w:sz w:val="18"/>
                <w:szCs w:val="18"/>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1</w:t>
            </w:r>
          </w:p>
        </w:tc>
        <w:tc>
          <w:tcPr>
            <w:tcW w:w="1529" w:type="dxa"/>
            <w:gridSpan w:val="2"/>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培养目标</w:t>
            </w:r>
          </w:p>
        </w:tc>
        <w:tc>
          <w:tcPr>
            <w:tcW w:w="6551" w:type="dxa"/>
            <w:vAlign w:val="top"/>
          </w:tcPr>
          <w:p>
            <w:pPr>
              <w:spacing w:line="0" w:lineRule="atLeast"/>
              <w:ind w:firstLine="360" w:firstLineChars="200"/>
              <w:rPr>
                <w:rFonts w:hint="eastAsia" w:ascii="宋体" w:hAnsi="宋体" w:eastAsia="宋体" w:cs="宋体"/>
                <w:sz w:val="18"/>
                <w:szCs w:val="18"/>
              </w:rPr>
            </w:pPr>
            <w:r>
              <w:rPr>
                <w:rFonts w:hint="eastAsia" w:ascii="宋体" w:hAnsi="宋体" w:eastAsia="宋体" w:cs="宋体"/>
                <w:sz w:val="18"/>
                <w:szCs w:val="18"/>
              </w:rPr>
              <w:t>本专业人才培养方案的制订遵循人才培养的目标与客观规律，基于区域经济的行业岗位人才需求确立人才培养定位与人才培养目标，面向行业的岗位人才市场需求调研已形成长效机制，每年更新，密切关注行业发展新趋势与岗位人才需求新动态，保证人才培养与产业发展的一致性，基于市场调研与专家论证的课程体系具有专业性、系统性，符合职业发展的规律性。人才培养方案人才培养目标定位准确，与产业发展的一致性，具有一定的前瞻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restart"/>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2</w:t>
            </w:r>
          </w:p>
        </w:tc>
        <w:tc>
          <w:tcPr>
            <w:tcW w:w="552" w:type="dxa"/>
            <w:vMerge w:val="restart"/>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培养过程</w:t>
            </w:r>
          </w:p>
        </w:tc>
        <w:tc>
          <w:tcPr>
            <w:tcW w:w="977" w:type="dxa"/>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课程体系</w:t>
            </w:r>
          </w:p>
        </w:tc>
        <w:tc>
          <w:tcPr>
            <w:tcW w:w="6551" w:type="dxa"/>
            <w:vAlign w:val="top"/>
          </w:tcPr>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rPr>
              <w:t>专业课程含专业核心课程与专业拓展课程，加强课程开发，充分体现课程内容与职业标准的对接性。课程体系面向运输主管、运输调度、仓管主管；生产车间主管、采购经理、物流销售主管、物流客户服务主管、货运代理等岗位，符合职业发展的规律性，课程内容与职业标准对接。</w:t>
            </w:r>
            <w:r>
              <w:rPr>
                <w:rFonts w:hint="eastAsia" w:ascii="宋体" w:hAnsi="宋体" w:eastAsia="宋体" w:cs="宋体"/>
                <w:sz w:val="18"/>
                <w:szCs w:val="18"/>
                <w:lang w:eastAsia="zh-CN"/>
              </w:rPr>
              <w:t>与此同时，</w:t>
            </w:r>
            <w:r>
              <w:rPr>
                <w:rFonts w:hint="eastAsia" w:ascii="宋体" w:hAnsi="宋体" w:eastAsia="宋体" w:cs="宋体"/>
                <w:sz w:val="18"/>
                <w:szCs w:val="18"/>
                <w:lang w:val="en-US" w:eastAsia="zh-CN"/>
              </w:rPr>
              <w:t>构</w:t>
            </w:r>
            <w:r>
              <w:rPr>
                <w:rFonts w:hint="default" w:ascii="宋体" w:hAnsi="宋体" w:eastAsia="宋体" w:cs="宋体"/>
                <w:sz w:val="18"/>
                <w:szCs w:val="18"/>
                <w:lang w:val="en-US" w:eastAsia="zh-CN"/>
              </w:rPr>
              <w:t>建了以思想道德、专业技能、社会生存、身心发展为内容，以竞技比赛、文体活动、实践体验、专题讲座为主要活动方式的第二课堂体系。例如社团活动、青年大学习、</w:t>
            </w:r>
            <w:r>
              <w:rPr>
                <w:rFonts w:hint="eastAsia" w:ascii="宋体" w:hAnsi="宋体" w:eastAsia="宋体" w:cs="宋体"/>
                <w:sz w:val="18"/>
                <w:szCs w:val="18"/>
                <w:lang w:val="en-US" w:eastAsia="zh-CN"/>
              </w:rPr>
              <w:t>暑期社会实践、</w:t>
            </w:r>
            <w:r>
              <w:rPr>
                <w:rFonts w:hint="default" w:ascii="宋体" w:hAnsi="宋体" w:eastAsia="宋体" w:cs="宋体"/>
                <w:sz w:val="18"/>
                <w:szCs w:val="18"/>
                <w:lang w:val="en-US" w:eastAsia="zh-CN"/>
              </w:rPr>
              <w:t>职业技能周、社区服务、企业家讲坛、安全教育讲座等。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continue"/>
            <w:vAlign w:val="center"/>
          </w:tcPr>
          <w:p>
            <w:pPr>
              <w:spacing w:line="0" w:lineRule="atLeast"/>
              <w:jc w:val="center"/>
              <w:rPr>
                <w:rFonts w:hint="eastAsia" w:ascii="宋体" w:hAnsi="宋体" w:eastAsia="宋体" w:cs="宋体"/>
                <w:sz w:val="18"/>
                <w:szCs w:val="18"/>
              </w:rPr>
            </w:pPr>
          </w:p>
        </w:tc>
        <w:tc>
          <w:tcPr>
            <w:tcW w:w="552" w:type="dxa"/>
            <w:vMerge w:val="continue"/>
            <w:vAlign w:val="center"/>
          </w:tcPr>
          <w:p>
            <w:pPr>
              <w:spacing w:line="0" w:lineRule="atLeast"/>
              <w:jc w:val="center"/>
              <w:rPr>
                <w:rFonts w:hint="eastAsia" w:ascii="宋体" w:hAnsi="宋体" w:eastAsia="宋体" w:cs="宋体"/>
                <w:sz w:val="18"/>
                <w:szCs w:val="18"/>
              </w:rPr>
            </w:pPr>
          </w:p>
        </w:tc>
        <w:tc>
          <w:tcPr>
            <w:tcW w:w="977" w:type="dxa"/>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教学方法</w:t>
            </w:r>
          </w:p>
        </w:tc>
        <w:tc>
          <w:tcPr>
            <w:tcW w:w="6551" w:type="dxa"/>
            <w:vAlign w:val="top"/>
          </w:tcPr>
          <w:p>
            <w:pPr>
              <w:spacing w:line="0" w:lineRule="atLeast"/>
              <w:ind w:firstLine="360" w:firstLineChars="200"/>
              <w:rPr>
                <w:rFonts w:hint="eastAsia" w:ascii="宋体" w:hAnsi="宋体" w:eastAsia="宋体" w:cs="宋体"/>
                <w:sz w:val="18"/>
                <w:szCs w:val="18"/>
              </w:rPr>
            </w:pPr>
            <w:r>
              <w:rPr>
                <w:rFonts w:hint="eastAsia" w:ascii="宋体" w:hAnsi="宋体" w:eastAsia="宋体" w:cs="宋体"/>
                <w:sz w:val="18"/>
                <w:szCs w:val="18"/>
              </w:rPr>
              <w:t>专业核心课程建设包括课程网站在内的立体化教学资源，采用项目教学、案例教学、线上线下混合教学等形式多样的教学方式，增强课堂实效，提高教学质量。加强教材的建设与有效利用，提高教学方法的科学性、合理性和应用的有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continue"/>
            <w:vAlign w:val="center"/>
          </w:tcPr>
          <w:p>
            <w:pPr>
              <w:spacing w:line="0" w:lineRule="atLeast"/>
              <w:jc w:val="center"/>
              <w:rPr>
                <w:rFonts w:hint="eastAsia" w:ascii="宋体" w:hAnsi="宋体" w:eastAsia="宋体" w:cs="宋体"/>
                <w:sz w:val="18"/>
                <w:szCs w:val="18"/>
              </w:rPr>
            </w:pPr>
          </w:p>
        </w:tc>
        <w:tc>
          <w:tcPr>
            <w:tcW w:w="552" w:type="dxa"/>
            <w:vMerge w:val="continue"/>
            <w:vAlign w:val="center"/>
          </w:tcPr>
          <w:p>
            <w:pPr>
              <w:spacing w:line="0" w:lineRule="atLeast"/>
              <w:jc w:val="center"/>
              <w:rPr>
                <w:rFonts w:hint="eastAsia" w:ascii="宋体" w:hAnsi="宋体" w:eastAsia="宋体" w:cs="宋体"/>
                <w:sz w:val="18"/>
                <w:szCs w:val="18"/>
              </w:rPr>
            </w:pPr>
          </w:p>
        </w:tc>
        <w:tc>
          <w:tcPr>
            <w:tcW w:w="977" w:type="dxa"/>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基地建设</w:t>
            </w:r>
          </w:p>
        </w:tc>
        <w:tc>
          <w:tcPr>
            <w:tcW w:w="6551" w:type="dxa"/>
            <w:vAlign w:val="top"/>
          </w:tcPr>
          <w:p>
            <w:pPr>
              <w:spacing w:line="0" w:lineRule="atLeast"/>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建设体现职场环境的仿真校内实训基地，实现课程实践教学过程与工作过程有效对接。建设丰富的校外实习基地，接受学生开展工学交替、毕业实习等。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continue"/>
            <w:vAlign w:val="center"/>
          </w:tcPr>
          <w:p>
            <w:pPr>
              <w:spacing w:line="0" w:lineRule="atLeast"/>
              <w:jc w:val="center"/>
              <w:rPr>
                <w:rFonts w:hint="eastAsia" w:ascii="宋体" w:hAnsi="宋体" w:eastAsia="宋体" w:cs="宋体"/>
                <w:sz w:val="18"/>
                <w:szCs w:val="18"/>
              </w:rPr>
            </w:pPr>
          </w:p>
        </w:tc>
        <w:tc>
          <w:tcPr>
            <w:tcW w:w="552" w:type="dxa"/>
            <w:vMerge w:val="continue"/>
            <w:vAlign w:val="center"/>
          </w:tcPr>
          <w:p>
            <w:pPr>
              <w:spacing w:line="0" w:lineRule="atLeast"/>
              <w:jc w:val="center"/>
              <w:rPr>
                <w:rFonts w:hint="eastAsia" w:ascii="宋体" w:hAnsi="宋体" w:eastAsia="宋体" w:cs="宋体"/>
                <w:sz w:val="18"/>
                <w:szCs w:val="18"/>
              </w:rPr>
            </w:pPr>
          </w:p>
        </w:tc>
        <w:tc>
          <w:tcPr>
            <w:tcW w:w="977" w:type="dxa"/>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师资建设</w:t>
            </w:r>
          </w:p>
        </w:tc>
        <w:tc>
          <w:tcPr>
            <w:tcW w:w="6551" w:type="dxa"/>
            <w:vAlign w:val="top"/>
          </w:tcPr>
          <w:p>
            <w:pPr>
              <w:spacing w:line="0" w:lineRule="atLeast"/>
              <w:ind w:firstLine="360" w:firstLineChars="200"/>
              <w:rPr>
                <w:rFonts w:hint="eastAsia" w:ascii="宋体" w:hAnsi="宋体" w:eastAsia="宋体" w:cs="宋体"/>
                <w:sz w:val="18"/>
                <w:szCs w:val="18"/>
              </w:rPr>
            </w:pPr>
            <w:r>
              <w:rPr>
                <w:rFonts w:hint="eastAsia" w:ascii="宋体" w:hAnsi="宋体" w:eastAsia="宋体" w:cs="宋体"/>
                <w:sz w:val="18"/>
                <w:szCs w:val="18"/>
              </w:rPr>
              <w:t>专任教师中双师素质教师比例达98%，兼职教师配比为38%，全部专任教师都具备企业实践经历。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3</w:t>
            </w:r>
          </w:p>
        </w:tc>
        <w:tc>
          <w:tcPr>
            <w:tcW w:w="1529" w:type="dxa"/>
            <w:gridSpan w:val="2"/>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培养质量</w:t>
            </w:r>
          </w:p>
        </w:tc>
        <w:tc>
          <w:tcPr>
            <w:tcW w:w="6551" w:type="dxa"/>
            <w:vAlign w:val="top"/>
          </w:tcPr>
          <w:p>
            <w:pPr>
              <w:spacing w:line="0" w:lineRule="atLeast"/>
              <w:ind w:firstLine="270" w:firstLineChars="150"/>
              <w:rPr>
                <w:rFonts w:hint="eastAsia" w:ascii="宋体" w:hAnsi="宋体" w:eastAsia="宋体" w:cs="宋体"/>
                <w:sz w:val="18"/>
                <w:szCs w:val="18"/>
              </w:rPr>
            </w:pPr>
            <w:r>
              <w:rPr>
                <w:rFonts w:hint="eastAsia" w:ascii="宋体" w:hAnsi="宋体" w:eastAsia="宋体" w:cs="宋体"/>
                <w:sz w:val="18"/>
                <w:szCs w:val="18"/>
              </w:rPr>
              <w:t>本专业构建“三型”人才育人体系，培养“技术技能型、复合创新型、国际视野型”人才，重视对学生物流职业素养与技能的培育与形成，通过广泛深入宣传教育，增强学生爱岗敬业、吃苦耐劳的物流职业精神。本专业要求达到学生就业率高，就业对口率高，企业对学生的专业能力、职业素质、业务知识等方面给予充分肯定。</w:t>
            </w:r>
          </w:p>
        </w:tc>
      </w:tr>
    </w:tbl>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校外质量管理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校外质量管理是质量管理体系的延伸和拓展，涉及行业、企业、管理者和毕业生等各个方面。具体实践包括：</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行业和企业参与：积极邀请行业和企业参与学校的质量管理工作，共同制定人才培养方案和课程设置。通过与企业合作开展实践教学、实习实训等活动，提高学生的实践能力和职业素养。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管理者评价：邀请行业专家和企业管理者对学校的教学质量进行评估和反馈。通过收集和分析这些反馈信息，学校可以了解社会对人才培养的需求和标准，及时调整和优化教学质量管理策略。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b/>
          <w:sz w:val="30"/>
          <w:szCs w:val="30"/>
        </w:rPr>
      </w:pPr>
      <w:r>
        <w:rPr>
          <w:rFonts w:hint="eastAsia" w:ascii="宋体" w:hAnsi="宋体" w:cs="宋体"/>
          <w:color w:val="000000"/>
          <w:kern w:val="0"/>
          <w:sz w:val="24"/>
          <w:szCs w:val="24"/>
        </w:rPr>
        <w:t>毕业生跟踪调查：建立毕业生跟踪调查机制，了解毕业生在工作中的表现和反馈。通过收集和分析这些信息，学校可以评估教学质量和人才培养效果，为今后的教学质量改进提供有力支持。</w:t>
      </w:r>
    </w:p>
    <w:p>
      <w:pPr>
        <w:keepNext w:val="0"/>
        <w:keepLines w:val="0"/>
        <w:pageBreakBefore w:val="0"/>
        <w:kinsoku/>
        <w:wordWrap/>
        <w:overflowPunct/>
        <w:topLinePunct w:val="0"/>
        <w:autoSpaceDE/>
        <w:autoSpaceDN/>
        <w:bidi w:val="0"/>
        <w:adjustRightInd/>
        <w:snapToGrid/>
        <w:spacing w:line="440" w:lineRule="exact"/>
        <w:ind w:firstLine="602" w:firstLineChars="200"/>
        <w:textAlignment w:val="auto"/>
        <w:outlineLvl w:val="0"/>
        <w:rPr>
          <w:rFonts w:ascii="宋体" w:hAnsi="宋体"/>
          <w:b/>
          <w:sz w:val="30"/>
          <w:szCs w:val="30"/>
        </w:rPr>
      </w:pPr>
      <w:bookmarkStart w:id="15" w:name="_Toc17310"/>
      <w:r>
        <w:rPr>
          <w:rFonts w:hint="eastAsia" w:ascii="宋体" w:hAnsi="宋体"/>
          <w:b/>
          <w:sz w:val="30"/>
          <w:szCs w:val="30"/>
          <w:lang w:val="en-US" w:eastAsia="zh-CN"/>
        </w:rPr>
        <w:t>十一</w:t>
      </w:r>
      <w:r>
        <w:rPr>
          <w:rFonts w:ascii="宋体" w:hAnsi="宋体"/>
          <w:b/>
          <w:sz w:val="30"/>
          <w:szCs w:val="30"/>
        </w:rPr>
        <w:t>、毕业要求</w:t>
      </w:r>
      <w:bookmarkEnd w:id="15"/>
    </w:p>
    <w:p>
      <w:pPr>
        <w:keepNext w:val="0"/>
        <w:keepLines w:val="0"/>
        <w:pageBreakBefore w:val="0"/>
        <w:widowControl/>
        <w:kinsoku/>
        <w:wordWrap/>
        <w:overflowPunct/>
        <w:topLinePunct w:val="0"/>
        <w:autoSpaceDE/>
        <w:autoSpaceDN/>
        <w:bidi w:val="0"/>
        <w:adjustRightInd/>
        <w:snapToGrid/>
        <w:spacing w:line="440" w:lineRule="exact"/>
        <w:ind w:firstLine="420"/>
        <w:jc w:val="left"/>
        <w:textAlignment w:val="auto"/>
        <w:rPr>
          <w:rFonts w:ascii="宋体" w:hAnsi="宋体" w:cs="宋体"/>
          <w:b/>
          <w:color w:val="000000"/>
          <w:kern w:val="0"/>
          <w:sz w:val="24"/>
          <w:szCs w:val="24"/>
        </w:rPr>
      </w:pPr>
      <w:bookmarkStart w:id="16" w:name="_Toc148024742"/>
      <w:r>
        <w:rPr>
          <w:rFonts w:hint="eastAsia" w:ascii="宋体" w:hAnsi="宋体" w:cs="宋体"/>
          <w:b/>
          <w:color w:val="000000"/>
          <w:kern w:val="0"/>
          <w:sz w:val="24"/>
          <w:szCs w:val="24"/>
        </w:rPr>
        <w:t>（一）</w:t>
      </w:r>
      <w:r>
        <w:rPr>
          <w:rFonts w:ascii="宋体" w:hAnsi="宋体" w:cs="宋体"/>
          <w:b/>
          <w:color w:val="000000"/>
          <w:kern w:val="0"/>
          <w:sz w:val="24"/>
          <w:szCs w:val="24"/>
        </w:rPr>
        <w:t>学分要求</w:t>
      </w:r>
      <w:bookmarkEnd w:id="16"/>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cs="宋体"/>
          <w:kern w:val="0"/>
          <w:sz w:val="24"/>
          <w:szCs w:val="24"/>
        </w:rPr>
      </w:pPr>
      <w:r>
        <w:rPr>
          <w:rFonts w:ascii="宋体" w:hAnsi="宋体" w:cs="宋体"/>
          <w:kern w:val="0"/>
          <w:sz w:val="24"/>
          <w:szCs w:val="24"/>
        </w:rPr>
        <w:t>在</w:t>
      </w:r>
      <w:r>
        <w:rPr>
          <w:rFonts w:hint="eastAsia" w:ascii="宋体" w:hAnsi="宋体" w:cs="宋体"/>
          <w:kern w:val="0"/>
          <w:sz w:val="24"/>
          <w:szCs w:val="24"/>
        </w:rPr>
        <w:t>修业年限</w:t>
      </w:r>
      <w:r>
        <w:rPr>
          <w:rFonts w:ascii="宋体" w:hAnsi="宋体" w:cs="宋体"/>
          <w:kern w:val="0"/>
          <w:sz w:val="24"/>
          <w:szCs w:val="24"/>
        </w:rPr>
        <w:t>内，按规定要求完成全部教学任务，获得相应专业最低毕业学分</w:t>
      </w:r>
      <w:r>
        <w:rPr>
          <w:rFonts w:hint="eastAsia" w:ascii="宋体" w:hAnsi="宋体" w:cs="宋体"/>
          <w:kern w:val="0"/>
          <w:sz w:val="24"/>
          <w:szCs w:val="24"/>
          <w:lang w:val="en-US" w:eastAsia="zh-CN"/>
        </w:rPr>
        <w:t>146.5</w:t>
      </w:r>
      <w:r>
        <w:rPr>
          <w:rFonts w:hint="eastAsia" w:ascii="宋体" w:hAnsi="宋体" w:cs="宋体"/>
          <w:kern w:val="0"/>
          <w:sz w:val="24"/>
          <w:szCs w:val="24"/>
        </w:rPr>
        <w:t>分，其中</w:t>
      </w:r>
      <w:r>
        <w:rPr>
          <w:rFonts w:ascii="宋体" w:hAnsi="宋体" w:cs="宋体"/>
          <w:kern w:val="0"/>
          <w:sz w:val="24"/>
          <w:szCs w:val="24"/>
        </w:rPr>
        <w:t>公共选修课程12学分</w:t>
      </w:r>
      <w:r>
        <w:rPr>
          <w:rFonts w:hint="eastAsia" w:ascii="宋体" w:hAnsi="宋体" w:cs="宋体"/>
          <w:kern w:val="0"/>
          <w:sz w:val="24"/>
          <w:szCs w:val="24"/>
        </w:rPr>
        <w:t>（包括</w:t>
      </w:r>
      <w:r>
        <w:rPr>
          <w:rFonts w:ascii="宋体" w:hAnsi="宋体" w:cs="宋体"/>
          <w:kern w:val="0"/>
          <w:sz w:val="24"/>
          <w:szCs w:val="24"/>
        </w:rPr>
        <w:t>公共艺术选修课</w:t>
      </w:r>
      <w:r>
        <w:rPr>
          <w:rFonts w:hint="eastAsia" w:ascii="宋体" w:hAnsi="宋体" w:cs="宋体"/>
          <w:kern w:val="0"/>
          <w:sz w:val="24"/>
          <w:szCs w:val="24"/>
        </w:rPr>
        <w:t>2学分</w:t>
      </w:r>
      <w:r>
        <w:rPr>
          <w:rFonts w:hint="eastAsia" w:ascii="宋体" w:hAnsi="宋体" w:cs="宋体"/>
          <w:kern w:val="0"/>
          <w:sz w:val="24"/>
          <w:szCs w:val="24"/>
          <w:lang w:eastAsia="zh-CN"/>
        </w:rPr>
        <w:t>和“四史”教育类选修课</w:t>
      </w:r>
      <w:r>
        <w:rPr>
          <w:rFonts w:hint="eastAsia" w:ascii="宋体" w:hAnsi="宋体" w:cs="宋体"/>
          <w:kern w:val="0"/>
          <w:sz w:val="24"/>
          <w:szCs w:val="24"/>
          <w:lang w:val="en-US" w:eastAsia="zh-CN"/>
        </w:rPr>
        <w:t>1学分</w:t>
      </w:r>
      <w:r>
        <w:rPr>
          <w:rFonts w:hint="eastAsia" w:ascii="宋体" w:hAnsi="宋体" w:cs="宋体"/>
          <w:kern w:val="0"/>
          <w:sz w:val="24"/>
          <w:szCs w:val="24"/>
        </w:rPr>
        <w:t>），</w:t>
      </w:r>
      <w:r>
        <w:rPr>
          <w:rFonts w:ascii="宋体" w:hAnsi="宋体" w:cs="宋体"/>
          <w:kern w:val="0"/>
          <w:sz w:val="24"/>
          <w:szCs w:val="24"/>
        </w:rPr>
        <w:t>专业选修课程</w:t>
      </w:r>
      <w:r>
        <w:rPr>
          <w:rFonts w:hint="eastAsia" w:ascii="宋体" w:hAnsi="宋体" w:cs="宋体"/>
          <w:kern w:val="0"/>
          <w:sz w:val="24"/>
          <w:szCs w:val="24"/>
          <w:lang w:val="en-US" w:eastAsia="zh-CN"/>
        </w:rPr>
        <w:t>12</w:t>
      </w:r>
      <w:r>
        <w:rPr>
          <w:rFonts w:ascii="宋体" w:hAnsi="宋体" w:cs="宋体"/>
          <w:kern w:val="0"/>
          <w:sz w:val="24"/>
          <w:szCs w:val="24"/>
        </w:rPr>
        <w:t>学分。</w:t>
      </w:r>
    </w:p>
    <w:p>
      <w:pPr>
        <w:keepNext w:val="0"/>
        <w:keepLines w:val="0"/>
        <w:pageBreakBefore w:val="0"/>
        <w:widowControl/>
        <w:kinsoku/>
        <w:wordWrap/>
        <w:overflowPunct/>
        <w:topLinePunct w:val="0"/>
        <w:autoSpaceDE/>
        <w:autoSpaceDN/>
        <w:bidi w:val="0"/>
        <w:adjustRightInd/>
        <w:snapToGrid/>
        <w:spacing w:line="440" w:lineRule="exact"/>
        <w:ind w:firstLine="420"/>
        <w:jc w:val="left"/>
        <w:textAlignment w:val="auto"/>
        <w:rPr>
          <w:rFonts w:ascii="宋体" w:hAnsi="宋体" w:cs="宋体"/>
          <w:b/>
          <w:kern w:val="0"/>
          <w:sz w:val="24"/>
          <w:szCs w:val="24"/>
        </w:rPr>
      </w:pPr>
      <w:bookmarkStart w:id="17" w:name="_Toc148024743"/>
      <w:r>
        <w:rPr>
          <w:rFonts w:hint="eastAsia" w:ascii="宋体" w:hAnsi="宋体" w:cs="宋体"/>
          <w:b/>
          <w:kern w:val="0"/>
          <w:sz w:val="24"/>
          <w:szCs w:val="24"/>
        </w:rPr>
        <w:t>（二）证书要求</w:t>
      </w:r>
      <w:bookmarkEnd w:id="17"/>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default" w:cs="宋体"/>
          <w:b w:val="0"/>
          <w:kern w:val="0"/>
          <w:sz w:val="24"/>
          <w:szCs w:val="24"/>
        </w:rPr>
      </w:pPr>
      <w:bookmarkStart w:id="18" w:name="_Toc11621"/>
      <w:r>
        <w:rPr>
          <w:rFonts w:cs="宋体"/>
          <w:b w:val="0"/>
          <w:bCs w:val="0"/>
          <w:kern w:val="0"/>
          <w:sz w:val="24"/>
          <w:szCs w:val="24"/>
        </w:rPr>
        <w:t>1.江苏省高校英语应用能力</w:t>
      </w:r>
      <w:r>
        <w:rPr>
          <w:rFonts w:cs="宋体"/>
          <w:b w:val="0"/>
          <w:kern w:val="0"/>
          <w:sz w:val="24"/>
          <w:szCs w:val="24"/>
        </w:rPr>
        <w:t>证书（必须），高等学校英语应用能力考试委员会颁发。（面向提前招生、普通高考学生）</w:t>
      </w:r>
      <w:bookmarkEnd w:id="18"/>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高等学校英语应用能力考试达50分，或高等学校英语应用能力考试分数（占40%）与大学英语III分数（占60%）的加权之和达50分。（面向中高职衔接、职教高考一、职教高考二学生）</w:t>
      </w:r>
    </w:p>
    <w:p>
      <w:pPr>
        <w:keepNext w:val="0"/>
        <w:keepLines w:val="0"/>
        <w:pageBreakBefore w:val="0"/>
        <w:widowControl/>
        <w:kinsoku/>
        <w:wordWrap/>
        <w:overflowPunct/>
        <w:topLinePunct w:val="0"/>
        <w:autoSpaceDE/>
        <w:autoSpaceDN/>
        <w:bidi w:val="0"/>
        <w:adjustRightInd/>
        <w:snapToGrid/>
        <w:spacing w:line="440" w:lineRule="exact"/>
        <w:ind w:firstLine="420"/>
        <w:jc w:val="left"/>
        <w:textAlignment w:val="auto"/>
        <w:rPr>
          <w:rFonts w:ascii="宋体" w:hAnsi="宋体" w:cs="宋体"/>
          <w:color w:val="000000"/>
          <w:kern w:val="0"/>
          <w:sz w:val="24"/>
          <w:szCs w:val="24"/>
        </w:rPr>
      </w:pPr>
      <w:r>
        <w:rPr>
          <w:rFonts w:hint="eastAsia" w:ascii="宋体" w:hAnsi="宋体" w:cs="宋体"/>
          <w:color w:val="000000"/>
          <w:kern w:val="0"/>
          <w:sz w:val="24"/>
          <w:szCs w:val="24"/>
        </w:rPr>
        <w:t>2.</w:t>
      </w:r>
      <w:r>
        <w:rPr>
          <w:rFonts w:ascii="宋体" w:hAnsi="宋体" w:cs="宋体"/>
          <w:color w:val="000000"/>
          <w:kern w:val="0"/>
          <w:sz w:val="24"/>
          <w:szCs w:val="24"/>
        </w:rPr>
        <w:t>全国计算机等级考试一级证书（必须），教育部考试中心颁发。</w:t>
      </w:r>
    </w:p>
    <w:p>
      <w:pPr>
        <w:keepNext w:val="0"/>
        <w:keepLines w:val="0"/>
        <w:pageBreakBefore w:val="0"/>
        <w:widowControl/>
        <w:kinsoku/>
        <w:wordWrap/>
        <w:overflowPunct/>
        <w:topLinePunct w:val="0"/>
        <w:autoSpaceDE/>
        <w:autoSpaceDN/>
        <w:bidi w:val="0"/>
        <w:adjustRightInd/>
        <w:snapToGrid/>
        <w:spacing w:line="440" w:lineRule="exact"/>
        <w:ind w:firstLine="420"/>
        <w:jc w:val="left"/>
        <w:textAlignment w:val="auto"/>
        <w:rPr>
          <w:rFonts w:ascii="宋体" w:hAnsi="宋体" w:cs="宋体"/>
          <w:color w:val="000000"/>
          <w:kern w:val="0"/>
          <w:sz w:val="24"/>
          <w:szCs w:val="24"/>
        </w:rPr>
      </w:pPr>
      <w:r>
        <w:rPr>
          <w:rFonts w:hint="eastAsia" w:ascii="宋体" w:hAnsi="宋体" w:cs="宋体"/>
          <w:color w:val="000000"/>
          <w:kern w:val="0"/>
          <w:sz w:val="24"/>
          <w:szCs w:val="24"/>
        </w:rPr>
        <w:t>3.下类证书中至少取得一项：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bCs/>
          <w:sz w:val="24"/>
          <w:szCs w:val="24"/>
        </w:rPr>
      </w:pPr>
      <w:r>
        <w:rPr>
          <w:rFonts w:hint="eastAsia"/>
          <w:bCs/>
          <w:sz w:val="24"/>
          <w:szCs w:val="24"/>
        </w:rPr>
        <w:t>（1）物流师（三级），中国物流与采购联合会颁发。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bCs/>
          <w:sz w:val="24"/>
          <w:szCs w:val="24"/>
        </w:rPr>
      </w:pPr>
      <w:r>
        <w:rPr>
          <w:rFonts w:hint="eastAsia"/>
          <w:bCs/>
          <w:sz w:val="24"/>
          <w:szCs w:val="24"/>
        </w:rPr>
        <w:t>（2）高级仓库管理员，中国仓储与配送协会颁发。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bCs/>
          <w:sz w:val="24"/>
          <w:szCs w:val="24"/>
        </w:rPr>
      </w:pPr>
      <w:r>
        <w:rPr>
          <w:rFonts w:hint="eastAsia"/>
          <w:bCs/>
          <w:sz w:val="24"/>
          <w:szCs w:val="24"/>
        </w:rPr>
        <w:t>（3）采购师，人力资源和社会保障部颁发。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bCs/>
          <w:sz w:val="24"/>
          <w:szCs w:val="24"/>
        </w:rPr>
      </w:pPr>
      <w:r>
        <w:rPr>
          <w:rFonts w:hint="eastAsia"/>
          <w:bCs/>
          <w:sz w:val="24"/>
          <w:szCs w:val="24"/>
        </w:rPr>
        <w:t>（4）叉车证，地方质量监督管理局颁发。</w:t>
      </w:r>
    </w:p>
    <w:p>
      <w:pPr>
        <w:keepNext w:val="0"/>
        <w:keepLines w:val="0"/>
        <w:pageBreakBefore w:val="0"/>
        <w:widowControl/>
        <w:kinsoku/>
        <w:wordWrap/>
        <w:overflowPunct/>
        <w:topLinePunct w:val="0"/>
        <w:autoSpaceDE/>
        <w:autoSpaceDN/>
        <w:bidi w:val="0"/>
        <w:adjustRightInd/>
        <w:snapToGrid/>
        <w:spacing w:line="440" w:lineRule="exact"/>
        <w:ind w:firstLine="420"/>
        <w:jc w:val="left"/>
        <w:textAlignment w:val="auto"/>
        <w:rPr>
          <w:rFonts w:ascii="宋体" w:hAnsi="宋体" w:cs="宋体"/>
          <w:color w:val="000000"/>
          <w:kern w:val="0"/>
          <w:sz w:val="24"/>
          <w:szCs w:val="24"/>
        </w:rPr>
      </w:pPr>
      <w:r>
        <w:rPr>
          <w:rFonts w:hint="eastAsia"/>
          <w:bCs/>
          <w:sz w:val="24"/>
          <w:szCs w:val="24"/>
          <w:lang w:eastAsia="zh-CN"/>
        </w:rPr>
        <w:t>（</w:t>
      </w:r>
      <w:r>
        <w:rPr>
          <w:rFonts w:hint="eastAsia"/>
          <w:bCs/>
          <w:sz w:val="24"/>
          <w:szCs w:val="24"/>
          <w:lang w:val="en-US" w:eastAsia="zh-CN"/>
        </w:rPr>
        <w:t>5）由教研室认定的其他与专业相关的技能证书。</w:t>
      </w:r>
    </w:p>
    <w:p>
      <w:pPr>
        <w:rPr>
          <w:rFonts w:hint="eastAsia" w:ascii="宋体" w:hAnsi="宋体" w:cs="宋体"/>
          <w:b/>
          <w:color w:val="000000"/>
          <w:kern w:val="0"/>
          <w:sz w:val="24"/>
          <w:szCs w:val="24"/>
        </w:rPr>
      </w:pPr>
      <w:r>
        <w:rPr>
          <w:rFonts w:hint="eastAsia" w:ascii="宋体" w:hAnsi="宋体" w:cs="宋体"/>
          <w:b/>
          <w:color w:val="000000"/>
          <w:kern w:val="0"/>
          <w:sz w:val="24"/>
          <w:szCs w:val="24"/>
        </w:rPr>
        <w:br w:type="page"/>
      </w:r>
    </w:p>
    <w:p>
      <w:pPr>
        <w:widowControl/>
        <w:spacing w:line="440" w:lineRule="exact"/>
        <w:ind w:firstLine="420"/>
        <w:jc w:val="left"/>
        <w:rPr>
          <w:rFonts w:ascii="宋体" w:hAnsi="宋体" w:cs="宋体"/>
          <w:b/>
          <w:color w:val="000000"/>
          <w:kern w:val="0"/>
          <w:sz w:val="24"/>
          <w:szCs w:val="24"/>
        </w:rPr>
      </w:pPr>
      <w:r>
        <w:rPr>
          <w:rFonts w:hint="eastAsia" w:ascii="宋体" w:hAnsi="宋体" w:cs="宋体"/>
          <w:b/>
          <w:color w:val="000000"/>
          <w:kern w:val="0"/>
          <w:sz w:val="24"/>
          <w:szCs w:val="24"/>
        </w:rPr>
        <w:t>（三）素质、知识和能力要求</w:t>
      </w:r>
    </w:p>
    <w:p>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结合专业人才培养目标和规格，填写下表。</w:t>
      </w:r>
    </w:p>
    <w:p>
      <w:pPr>
        <w:jc w:val="center"/>
        <w:rPr>
          <w:b/>
        </w:rPr>
      </w:pPr>
      <w:r>
        <w:rPr>
          <w:rFonts w:hint="eastAsia"/>
          <w:b/>
        </w:rPr>
        <w:t>表</w:t>
      </w:r>
      <w:r>
        <w:rPr>
          <w:rFonts w:hint="eastAsia"/>
          <w:b/>
          <w:lang w:val="en-US" w:eastAsia="zh-CN"/>
        </w:rPr>
        <w:t>12</w:t>
      </w:r>
      <w:r>
        <w:rPr>
          <w:rFonts w:hint="eastAsia"/>
          <w:b/>
          <w:lang w:eastAsia="zh-CN"/>
        </w:rPr>
        <w:t>现代物流管理专业</w:t>
      </w:r>
      <w:r>
        <w:rPr>
          <w:b/>
        </w:rPr>
        <w:t>毕业要求指标点分解说明</w:t>
      </w:r>
    </w:p>
    <w:tbl>
      <w:tblPr>
        <w:tblStyle w:val="10"/>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3544"/>
        <w:gridCol w:w="3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jc w:val="center"/>
        </w:trPr>
        <w:tc>
          <w:tcPr>
            <w:tcW w:w="2285" w:type="dxa"/>
            <w:tcBorders>
              <w:tl2br w:val="nil"/>
              <w:tr2bl w:val="nil"/>
            </w:tcBorders>
            <w:vAlign w:val="center"/>
          </w:tcPr>
          <w:p>
            <w:pPr>
              <w:jc w:val="center"/>
              <w:rPr>
                <w:rFonts w:ascii="宋体" w:hAnsi="宋体"/>
                <w:b/>
                <w:bCs/>
                <w:sz w:val="18"/>
                <w:szCs w:val="18"/>
              </w:rPr>
            </w:pPr>
            <w:r>
              <w:rPr>
                <w:rFonts w:hint="eastAsia" w:ascii="宋体" w:hAnsi="宋体"/>
                <w:b/>
                <w:bCs/>
                <w:sz w:val="18"/>
                <w:szCs w:val="18"/>
              </w:rPr>
              <w:t>毕业要求</w:t>
            </w:r>
          </w:p>
        </w:tc>
        <w:tc>
          <w:tcPr>
            <w:tcW w:w="3544" w:type="dxa"/>
            <w:tcBorders>
              <w:tl2br w:val="nil"/>
              <w:tr2bl w:val="nil"/>
            </w:tcBorders>
            <w:vAlign w:val="center"/>
          </w:tcPr>
          <w:p>
            <w:pPr>
              <w:jc w:val="center"/>
              <w:rPr>
                <w:rFonts w:ascii="宋体" w:hAnsi="宋体"/>
                <w:b/>
                <w:bCs/>
                <w:sz w:val="18"/>
                <w:szCs w:val="18"/>
              </w:rPr>
            </w:pPr>
            <w:r>
              <w:rPr>
                <w:rFonts w:hint="eastAsia" w:ascii="宋体" w:hAnsi="宋体"/>
                <w:b/>
                <w:bCs/>
                <w:sz w:val="18"/>
                <w:szCs w:val="18"/>
              </w:rPr>
              <w:t>分解指标点</w:t>
            </w:r>
          </w:p>
        </w:tc>
        <w:tc>
          <w:tcPr>
            <w:tcW w:w="3275" w:type="dxa"/>
            <w:tcBorders>
              <w:tl2br w:val="nil"/>
              <w:tr2bl w:val="nil"/>
            </w:tcBorders>
            <w:vAlign w:val="center"/>
          </w:tcPr>
          <w:p>
            <w:pPr>
              <w:jc w:val="center"/>
              <w:rPr>
                <w:rFonts w:ascii="宋体" w:hAnsi="宋体"/>
                <w:b/>
                <w:bCs/>
                <w:sz w:val="18"/>
                <w:szCs w:val="18"/>
              </w:rPr>
            </w:pPr>
            <w:r>
              <w:rPr>
                <w:rFonts w:hint="eastAsia" w:ascii="宋体" w:hAnsi="宋体"/>
                <w:b/>
                <w:bCs/>
                <w:sz w:val="18"/>
                <w:szCs w:val="18"/>
              </w:rPr>
              <w:t>毕业要求指标点的内涵解读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285" w:type="dxa"/>
            <w:vMerge w:val="restart"/>
            <w:tcBorders>
              <w:tl2br w:val="nil"/>
              <w:tr2bl w:val="nil"/>
            </w:tcBorders>
            <w:vAlign w:val="center"/>
          </w:tcPr>
          <w:p>
            <w:pPr>
              <w:jc w:val="both"/>
              <w:rPr>
                <w:rFonts w:ascii="宋体" w:hAnsi="宋体"/>
                <w:sz w:val="18"/>
                <w:szCs w:val="18"/>
              </w:rPr>
            </w:pPr>
            <w:r>
              <w:rPr>
                <w:rFonts w:hint="eastAsia" w:ascii="宋体" w:hAnsi="宋体"/>
                <w:sz w:val="18"/>
                <w:szCs w:val="18"/>
              </w:rPr>
              <w:t>毕业要求1爱国主义情怀：践行社会主义核心价值观，坚定理想信念，积极投身社会主义现代化建设的伟大实践。</w:t>
            </w:r>
          </w:p>
        </w:tc>
        <w:tc>
          <w:tcPr>
            <w:tcW w:w="3544" w:type="dxa"/>
            <w:tcBorders>
              <w:tl2br w:val="nil"/>
              <w:tr2bl w:val="nil"/>
            </w:tcBorders>
            <w:vAlign w:val="center"/>
          </w:tcPr>
          <w:p>
            <w:pPr>
              <w:jc w:val="both"/>
              <w:rPr>
                <w:rFonts w:ascii="宋体" w:hAnsi="宋体"/>
                <w:color w:val="000000"/>
                <w:sz w:val="18"/>
                <w:szCs w:val="18"/>
              </w:rPr>
            </w:pPr>
            <w:r>
              <w:rPr>
                <w:rFonts w:hint="eastAsia" w:ascii="宋体" w:hAnsi="宋体"/>
                <w:color w:val="000000"/>
                <w:sz w:val="18"/>
                <w:szCs w:val="18"/>
              </w:rPr>
              <w:t>1.1能以习近平新时代中国特色社会主义思想为行动指南。</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能认真学习习近平新时代中国特色社会主义思想。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color w:val="000000"/>
                <w:sz w:val="18"/>
                <w:szCs w:val="18"/>
              </w:rPr>
            </w:pPr>
            <w:r>
              <w:rPr>
                <w:rFonts w:hint="eastAsia" w:ascii="宋体" w:hAnsi="宋体"/>
                <w:color w:val="000000"/>
                <w:sz w:val="18"/>
                <w:szCs w:val="18"/>
              </w:rPr>
              <w:t>1.2自觉践行社会主义核心价值观。</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日常行动中，能以社会主义核心价值观为参照。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color w:val="000000"/>
                <w:sz w:val="18"/>
                <w:szCs w:val="18"/>
              </w:rPr>
            </w:pPr>
            <w:r>
              <w:rPr>
                <w:rFonts w:hint="eastAsia" w:ascii="宋体" w:hAnsi="宋体"/>
                <w:color w:val="000000"/>
                <w:sz w:val="18"/>
                <w:szCs w:val="18"/>
              </w:rPr>
              <w:t>1.3热爱祖国。</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爱国情怀。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restart"/>
            <w:tcBorders>
              <w:tl2br w:val="nil"/>
              <w:tr2bl w:val="nil"/>
            </w:tcBorders>
            <w:vAlign w:val="center"/>
          </w:tcPr>
          <w:p>
            <w:pPr>
              <w:jc w:val="both"/>
              <w:rPr>
                <w:rFonts w:ascii="宋体" w:hAnsi="宋体"/>
                <w:sz w:val="18"/>
                <w:szCs w:val="18"/>
              </w:rPr>
            </w:pPr>
            <w:r>
              <w:rPr>
                <w:rFonts w:hint="eastAsia" w:ascii="宋体" w:hAnsi="宋体"/>
                <w:sz w:val="18"/>
                <w:szCs w:val="18"/>
              </w:rPr>
              <w:t>毕业要求2法制意识：尊法学法守法用法，明大德守公德严私德。</w:t>
            </w:r>
          </w:p>
        </w:tc>
        <w:tc>
          <w:tcPr>
            <w:tcW w:w="3544" w:type="dxa"/>
            <w:tcBorders>
              <w:tl2br w:val="nil"/>
              <w:tr2bl w:val="nil"/>
            </w:tcBorders>
            <w:vAlign w:val="center"/>
          </w:tcPr>
          <w:p>
            <w:pPr>
              <w:jc w:val="both"/>
              <w:rPr>
                <w:rFonts w:ascii="宋体" w:hAnsi="宋体"/>
                <w:color w:val="000000"/>
                <w:sz w:val="18"/>
                <w:szCs w:val="18"/>
              </w:rPr>
            </w:pPr>
            <w:r>
              <w:rPr>
                <w:rFonts w:hint="eastAsia" w:ascii="宋体" w:hAnsi="宋体"/>
                <w:color w:val="000000"/>
                <w:sz w:val="18"/>
                <w:szCs w:val="18"/>
              </w:rPr>
              <w:t>2.1遵守法律。</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遵守国家和地方的法律法规。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color w:val="000000"/>
                <w:sz w:val="18"/>
                <w:szCs w:val="18"/>
              </w:rPr>
            </w:pPr>
            <w:r>
              <w:rPr>
                <w:rFonts w:hint="eastAsia" w:ascii="宋体" w:hAnsi="宋体"/>
                <w:color w:val="000000"/>
                <w:sz w:val="18"/>
                <w:szCs w:val="18"/>
              </w:rPr>
              <w:t>2.2学习法律。</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学习国家的法律法规。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color w:val="000000"/>
                <w:sz w:val="18"/>
                <w:szCs w:val="18"/>
              </w:rPr>
            </w:pPr>
            <w:r>
              <w:rPr>
                <w:rFonts w:hint="eastAsia" w:ascii="宋体" w:hAnsi="宋体"/>
                <w:color w:val="000000"/>
                <w:sz w:val="18"/>
                <w:szCs w:val="18"/>
              </w:rPr>
              <w:t>2.3正确使用法律。</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生活中正确使用法律。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restart"/>
            <w:tcBorders>
              <w:tl2br w:val="nil"/>
              <w:tr2bl w:val="nil"/>
            </w:tcBorders>
            <w:vAlign w:val="center"/>
          </w:tcPr>
          <w:p>
            <w:pPr>
              <w:jc w:val="both"/>
              <w:rPr>
                <w:rFonts w:ascii="宋体" w:hAnsi="宋体"/>
                <w:sz w:val="18"/>
                <w:szCs w:val="18"/>
              </w:rPr>
            </w:pPr>
            <w:r>
              <w:rPr>
                <w:rFonts w:hint="eastAsia" w:ascii="宋体" w:hAnsi="宋体"/>
                <w:sz w:val="18"/>
                <w:szCs w:val="18"/>
              </w:rPr>
              <w:t>毕业要求3</w:t>
            </w:r>
            <w:r>
              <w:rPr>
                <w:rFonts w:ascii="宋体" w:hAnsi="宋体"/>
                <w:sz w:val="18"/>
                <w:szCs w:val="18"/>
              </w:rPr>
              <w:t xml:space="preserve"> </w:t>
            </w:r>
            <w:r>
              <w:rPr>
                <w:rFonts w:hint="eastAsia" w:ascii="宋体" w:hAnsi="宋体"/>
                <w:sz w:val="18"/>
                <w:szCs w:val="18"/>
              </w:rPr>
              <w:t>SEQ意识：在日常的学习、生活及工作中养成安全意识、环境意识、质量意识。</w:t>
            </w: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3.1日常的生活工作中注重安全意识。</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安全无处不在，安全高于一切。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3.2有环境保护意识。</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绿水青山就是金山银山，做任何事都要考虑是否满足环保要求。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3.3工作生活有质量意识。</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质量是生命。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85" w:type="dxa"/>
            <w:vMerge w:val="restart"/>
            <w:tcBorders>
              <w:tl2br w:val="nil"/>
              <w:tr2bl w:val="nil"/>
            </w:tcBorders>
            <w:vAlign w:val="center"/>
          </w:tcPr>
          <w:p>
            <w:pPr>
              <w:jc w:val="both"/>
              <w:rPr>
                <w:rFonts w:ascii="宋体" w:hAnsi="宋体"/>
                <w:sz w:val="18"/>
                <w:szCs w:val="18"/>
              </w:rPr>
            </w:pPr>
            <w:r>
              <w:rPr>
                <w:rFonts w:hint="eastAsia" w:ascii="宋体" w:hAnsi="宋体"/>
                <w:sz w:val="18"/>
                <w:szCs w:val="18"/>
              </w:rPr>
              <w:t>毕业要求4职业规范：具有人文社会科学素养、社会责任感，能够在</w:t>
            </w:r>
            <w:r>
              <w:rPr>
                <w:rFonts w:hint="eastAsia" w:ascii="宋体" w:hAnsi="宋体"/>
                <w:sz w:val="18"/>
                <w:szCs w:val="18"/>
                <w:lang w:eastAsia="zh-CN"/>
              </w:rPr>
              <w:t>物流管理相关业务与作业中</w:t>
            </w:r>
            <w:r>
              <w:rPr>
                <w:rFonts w:hint="eastAsia" w:ascii="宋体" w:hAnsi="宋体"/>
                <w:sz w:val="18"/>
                <w:szCs w:val="18"/>
              </w:rPr>
              <w:t>职业道德和规范，履行责任。</w:t>
            </w: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4.1具有人文社会科学素养和社会责任感。</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有正确的价值观，理解个人与社会的关系，了解中国国情。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4.2能够在</w:t>
            </w:r>
            <w:r>
              <w:rPr>
                <w:rFonts w:hint="eastAsia" w:ascii="宋体" w:hAnsi="宋体"/>
                <w:sz w:val="18"/>
                <w:szCs w:val="18"/>
                <w:lang w:eastAsia="zh-CN"/>
              </w:rPr>
              <w:t>物流业务与作业</w:t>
            </w:r>
            <w:r>
              <w:rPr>
                <w:rFonts w:hint="eastAsia" w:ascii="宋体" w:hAnsi="宋体"/>
                <w:sz w:val="18"/>
                <w:szCs w:val="18"/>
              </w:rPr>
              <w:t>实践中理解并遵守</w:t>
            </w:r>
            <w:r>
              <w:rPr>
                <w:rFonts w:hint="eastAsia" w:ascii="宋体" w:hAnsi="宋体"/>
                <w:sz w:val="18"/>
                <w:szCs w:val="18"/>
                <w:lang w:eastAsia="zh-CN"/>
              </w:rPr>
              <w:t>物流岗位</w:t>
            </w:r>
            <w:r>
              <w:rPr>
                <w:rFonts w:hint="eastAsia" w:ascii="宋体" w:hAnsi="宋体"/>
                <w:sz w:val="18"/>
                <w:szCs w:val="18"/>
              </w:rPr>
              <w:t>职业道德和规范，履行责任。</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理解诚实公正、诚信守则的职业道德和规范，并能在实践中自觉遵守；</w:t>
            </w:r>
            <w:r>
              <w:rPr>
                <w:rFonts w:hint="eastAsia" w:ascii="宋体" w:hAnsi="宋体"/>
                <w:sz w:val="18"/>
                <w:szCs w:val="18"/>
                <w:lang w:eastAsia="zh-CN"/>
              </w:rPr>
              <w:t>在物流活动及相关物流作业中注重保护环境</w:t>
            </w: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restart"/>
            <w:tcBorders>
              <w:tl2br w:val="nil"/>
              <w:tr2bl w:val="nil"/>
            </w:tcBorders>
            <w:vAlign w:val="center"/>
          </w:tcPr>
          <w:p>
            <w:pPr>
              <w:jc w:val="both"/>
              <w:rPr>
                <w:rFonts w:ascii="宋体" w:hAnsi="宋体"/>
                <w:sz w:val="18"/>
                <w:szCs w:val="18"/>
              </w:rPr>
            </w:pPr>
            <w:r>
              <w:rPr>
                <w:rFonts w:hint="eastAsia" w:ascii="宋体" w:hAnsi="宋体"/>
                <w:sz w:val="18"/>
                <w:szCs w:val="18"/>
              </w:rPr>
              <w:t>毕业要求5</w:t>
            </w:r>
            <w:r>
              <w:rPr>
                <w:rFonts w:hint="eastAsia" w:ascii="宋体" w:hAnsi="宋体"/>
                <w:sz w:val="18"/>
                <w:szCs w:val="18"/>
                <w:lang w:eastAsia="zh-CN"/>
              </w:rPr>
              <w:t>物流管理专业</w:t>
            </w:r>
            <w:r>
              <w:rPr>
                <w:rFonts w:hint="eastAsia" w:ascii="宋体" w:hAnsi="宋体"/>
                <w:sz w:val="18"/>
                <w:szCs w:val="18"/>
              </w:rPr>
              <w:t>知识: 能够将</w:t>
            </w:r>
            <w:r>
              <w:rPr>
                <w:rFonts w:hint="eastAsia" w:ascii="宋体" w:hAnsi="宋体"/>
                <w:sz w:val="18"/>
                <w:szCs w:val="18"/>
                <w:lang w:eastAsia="zh-CN"/>
              </w:rPr>
              <w:t>物流管理基础、运输、仓储、采购、成本管理等专业</w:t>
            </w:r>
            <w:r>
              <w:rPr>
                <w:rFonts w:hint="eastAsia" w:ascii="宋体" w:hAnsi="宋体"/>
                <w:sz w:val="18"/>
                <w:szCs w:val="18"/>
              </w:rPr>
              <w:t>知识用于解决</w:t>
            </w:r>
            <w:r>
              <w:rPr>
                <w:rFonts w:hint="eastAsia" w:ascii="宋体" w:hAnsi="宋体"/>
                <w:sz w:val="18"/>
                <w:szCs w:val="18"/>
                <w:lang w:eastAsia="zh-CN"/>
              </w:rPr>
              <w:t>物流有关经营管理</w:t>
            </w:r>
            <w:r>
              <w:rPr>
                <w:rFonts w:hint="eastAsia" w:ascii="宋体" w:hAnsi="宋体"/>
                <w:sz w:val="18"/>
                <w:szCs w:val="18"/>
              </w:rPr>
              <w:t>问题。</w:t>
            </w: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5.1掌握</w:t>
            </w:r>
            <w:r>
              <w:rPr>
                <w:rFonts w:hint="eastAsia" w:ascii="宋体" w:hAnsi="宋体"/>
                <w:sz w:val="18"/>
                <w:szCs w:val="18"/>
                <w:lang w:eastAsia="zh-CN"/>
              </w:rPr>
              <w:t>运输、仓储、配送等</w:t>
            </w:r>
            <w:r>
              <w:rPr>
                <w:rFonts w:hint="eastAsia" w:ascii="宋体" w:hAnsi="宋体"/>
                <w:sz w:val="18"/>
                <w:szCs w:val="18"/>
              </w:rPr>
              <w:t>专业知识，能够正确领会解决</w:t>
            </w:r>
            <w:r>
              <w:rPr>
                <w:rFonts w:hint="eastAsia" w:ascii="宋体" w:hAnsi="宋体"/>
                <w:sz w:val="18"/>
                <w:szCs w:val="18"/>
                <w:lang w:eastAsia="zh-CN"/>
              </w:rPr>
              <w:t>物流有关业务问题</w:t>
            </w:r>
            <w:r>
              <w:rPr>
                <w:rFonts w:hint="eastAsia" w:ascii="宋体" w:hAnsi="宋体"/>
                <w:sz w:val="18"/>
                <w:szCs w:val="18"/>
              </w:rPr>
              <w:t>。</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掌握解决问题所需</w:t>
            </w:r>
            <w:r>
              <w:rPr>
                <w:rFonts w:hint="eastAsia" w:ascii="宋体" w:hAnsi="宋体"/>
                <w:sz w:val="18"/>
                <w:szCs w:val="18"/>
                <w:lang w:eastAsia="zh-CN"/>
              </w:rPr>
              <w:t>运输、仓储与配送、物流管理等</w:t>
            </w:r>
            <w:r>
              <w:rPr>
                <w:rFonts w:hint="eastAsia" w:ascii="宋体" w:hAnsi="宋体"/>
                <w:sz w:val="18"/>
                <w:szCs w:val="18"/>
              </w:rPr>
              <w:t>专业知识，能够</w:t>
            </w:r>
            <w:r>
              <w:rPr>
                <w:rFonts w:hint="eastAsia" w:ascii="宋体" w:hAnsi="宋体"/>
                <w:sz w:val="18"/>
                <w:szCs w:val="18"/>
                <w:lang w:eastAsia="zh-CN"/>
              </w:rPr>
              <w:t>理解有关企业物流运营</w:t>
            </w:r>
            <w:r>
              <w:rPr>
                <w:rFonts w:hint="eastAsia" w:ascii="宋体" w:hAnsi="宋体"/>
                <w:sz w:val="18"/>
                <w:szCs w:val="18"/>
              </w:rPr>
              <w:t>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5.2能针对具体的对象应用相关知识，推演和分析问题。</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能够针对具体的</w:t>
            </w:r>
            <w:r>
              <w:rPr>
                <w:rFonts w:hint="eastAsia" w:ascii="宋体" w:hAnsi="宋体"/>
                <w:sz w:val="18"/>
                <w:szCs w:val="18"/>
                <w:lang w:eastAsia="zh-CN"/>
              </w:rPr>
              <w:t>运输、仓储、项目管理等问题应用专业知识分析并加以解决</w:t>
            </w: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5.3能够</w:t>
            </w:r>
            <w:r>
              <w:rPr>
                <w:rFonts w:hint="eastAsia" w:ascii="宋体" w:hAnsi="宋体"/>
                <w:sz w:val="18"/>
                <w:szCs w:val="18"/>
                <w:lang w:eastAsia="zh-CN"/>
              </w:rPr>
              <w:t>应用</w:t>
            </w:r>
            <w:r>
              <w:rPr>
                <w:rFonts w:hint="eastAsia" w:ascii="宋体" w:hAnsi="宋体"/>
                <w:sz w:val="18"/>
                <w:szCs w:val="18"/>
              </w:rPr>
              <w:t>相关知识提出</w:t>
            </w:r>
            <w:r>
              <w:rPr>
                <w:rFonts w:hint="eastAsia" w:ascii="宋体" w:hAnsi="宋体"/>
                <w:sz w:val="18"/>
                <w:szCs w:val="18"/>
                <w:lang w:eastAsia="zh-CN"/>
              </w:rPr>
              <w:t>物流中存在的主要问题并提出初步解决方案与建议</w:t>
            </w:r>
            <w:r>
              <w:rPr>
                <w:rFonts w:hint="eastAsia" w:ascii="宋体" w:hAnsi="宋体"/>
                <w:sz w:val="18"/>
                <w:szCs w:val="18"/>
              </w:rPr>
              <w:t>。</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能够综合</w:t>
            </w:r>
            <w:r>
              <w:rPr>
                <w:rFonts w:hint="eastAsia" w:ascii="宋体" w:hAnsi="宋体"/>
                <w:sz w:val="18"/>
                <w:szCs w:val="18"/>
                <w:lang w:eastAsia="zh-CN"/>
              </w:rPr>
              <w:t>所学物流管理专业知识</w:t>
            </w:r>
            <w:r>
              <w:rPr>
                <w:rFonts w:hint="eastAsia" w:ascii="宋体" w:hAnsi="宋体"/>
                <w:sz w:val="18"/>
                <w:szCs w:val="18"/>
              </w:rPr>
              <w:t>，针对专业问题提出解决方案，并解决专业问题。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restart"/>
            <w:tcBorders>
              <w:tl2br w:val="nil"/>
              <w:tr2bl w:val="nil"/>
            </w:tcBorders>
            <w:vAlign w:val="center"/>
          </w:tcPr>
          <w:p>
            <w:pPr>
              <w:jc w:val="both"/>
              <w:rPr>
                <w:rFonts w:hint="eastAsia" w:ascii="宋体" w:hAnsi="宋体" w:eastAsia="宋体"/>
                <w:sz w:val="18"/>
                <w:szCs w:val="18"/>
                <w:lang w:eastAsia="zh-CN"/>
              </w:rPr>
            </w:pPr>
            <w:r>
              <w:rPr>
                <w:rFonts w:hint="eastAsia" w:ascii="宋体" w:hAnsi="宋体"/>
                <w:sz w:val="18"/>
                <w:szCs w:val="18"/>
              </w:rPr>
              <w:t>毕业要求6分析解决问题：能够</w:t>
            </w:r>
            <w:r>
              <w:rPr>
                <w:rFonts w:hint="eastAsia" w:ascii="宋体" w:hAnsi="宋体"/>
                <w:sz w:val="18"/>
                <w:szCs w:val="18"/>
                <w:lang w:eastAsia="zh-CN"/>
              </w:rPr>
              <w:t>针对物流企业或企业物流中存在的物流业务或运营问题加以分析，提出解决思路与措施并付诸实施。</w:t>
            </w: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6.1掌握</w:t>
            </w:r>
            <w:r>
              <w:rPr>
                <w:rFonts w:hint="eastAsia" w:ascii="宋体" w:hAnsi="宋体"/>
                <w:sz w:val="18"/>
                <w:szCs w:val="18"/>
                <w:lang w:eastAsia="zh-CN"/>
              </w:rPr>
              <w:t>物流管理</w:t>
            </w:r>
            <w:r>
              <w:rPr>
                <w:rFonts w:hint="eastAsia" w:ascii="宋体" w:hAnsi="宋体"/>
                <w:sz w:val="18"/>
                <w:szCs w:val="18"/>
              </w:rPr>
              <w:t>基础知识，能够对</w:t>
            </w:r>
            <w:r>
              <w:rPr>
                <w:rFonts w:hint="eastAsia" w:ascii="宋体" w:hAnsi="宋体"/>
                <w:sz w:val="18"/>
                <w:szCs w:val="18"/>
                <w:lang w:eastAsia="zh-CN"/>
              </w:rPr>
              <w:t>一般物流问题加以分析</w:t>
            </w:r>
            <w:r>
              <w:rPr>
                <w:rFonts w:hint="eastAsia" w:ascii="宋体" w:hAnsi="宋体"/>
                <w:sz w:val="18"/>
                <w:szCs w:val="18"/>
              </w:rPr>
              <w:t>。</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能够</w:t>
            </w:r>
            <w:r>
              <w:rPr>
                <w:rFonts w:hint="eastAsia" w:ascii="宋体" w:hAnsi="宋体"/>
                <w:sz w:val="18"/>
                <w:szCs w:val="18"/>
                <w:lang w:eastAsia="zh-CN"/>
              </w:rPr>
              <w:t>应用物流管理基础对物流功能环节一般问题有相应的解决措施。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6.2掌握</w:t>
            </w:r>
            <w:r>
              <w:rPr>
                <w:rFonts w:hint="eastAsia" w:ascii="宋体" w:hAnsi="宋体"/>
                <w:sz w:val="18"/>
                <w:szCs w:val="18"/>
                <w:lang w:eastAsia="zh-CN"/>
              </w:rPr>
              <w:t>仓储与配送、运输等</w:t>
            </w:r>
            <w:r>
              <w:rPr>
                <w:rFonts w:hint="eastAsia" w:ascii="宋体" w:hAnsi="宋体"/>
                <w:sz w:val="18"/>
                <w:szCs w:val="18"/>
              </w:rPr>
              <w:t>专业知识，能够对</w:t>
            </w:r>
            <w:r>
              <w:rPr>
                <w:rFonts w:hint="eastAsia" w:ascii="宋体" w:hAnsi="宋体"/>
                <w:sz w:val="18"/>
                <w:szCs w:val="18"/>
                <w:lang w:eastAsia="zh-CN"/>
              </w:rPr>
              <w:t>货物入库、出库、库内货物养护</w:t>
            </w:r>
            <w:r>
              <w:rPr>
                <w:rFonts w:hint="eastAsia" w:ascii="宋体" w:hAnsi="宋体"/>
                <w:sz w:val="18"/>
                <w:szCs w:val="18"/>
              </w:rPr>
              <w:t>等</w:t>
            </w:r>
            <w:r>
              <w:rPr>
                <w:rFonts w:hint="eastAsia" w:ascii="宋体" w:hAnsi="宋体"/>
                <w:sz w:val="18"/>
                <w:szCs w:val="18"/>
                <w:lang w:eastAsia="zh-CN"/>
              </w:rPr>
              <w:t>业务问题加以处理，做好货物的运输调度与安全管理</w:t>
            </w:r>
            <w:r>
              <w:rPr>
                <w:rFonts w:hint="eastAsia" w:ascii="宋体" w:hAnsi="宋体"/>
                <w:sz w:val="18"/>
                <w:szCs w:val="18"/>
              </w:rPr>
              <w:t>。</w:t>
            </w:r>
          </w:p>
        </w:tc>
        <w:tc>
          <w:tcPr>
            <w:tcW w:w="3275" w:type="dxa"/>
            <w:tcBorders>
              <w:tl2br w:val="nil"/>
              <w:tr2bl w:val="nil"/>
            </w:tcBorders>
            <w:vAlign w:val="center"/>
          </w:tcPr>
          <w:p>
            <w:pPr>
              <w:jc w:val="both"/>
              <w:rPr>
                <w:rFonts w:hint="eastAsia" w:ascii="宋体" w:hAnsi="宋体" w:eastAsia="宋体"/>
                <w:sz w:val="18"/>
                <w:szCs w:val="18"/>
                <w:lang w:eastAsia="zh-CN"/>
              </w:rPr>
            </w:pPr>
            <w:r>
              <w:rPr>
                <w:rFonts w:hint="eastAsia" w:ascii="宋体" w:hAnsi="宋体"/>
                <w:sz w:val="18"/>
                <w:szCs w:val="18"/>
              </w:rPr>
              <w:t>能够</w:t>
            </w:r>
            <w:r>
              <w:rPr>
                <w:rFonts w:hint="eastAsia" w:ascii="宋体" w:hAnsi="宋体"/>
                <w:sz w:val="18"/>
                <w:szCs w:val="18"/>
                <w:lang w:eastAsia="zh-CN"/>
              </w:rPr>
              <w:t>仓储与配送</w:t>
            </w:r>
            <w:r>
              <w:rPr>
                <w:rFonts w:hint="eastAsia" w:ascii="宋体" w:hAnsi="宋体"/>
                <w:sz w:val="18"/>
                <w:szCs w:val="18"/>
              </w:rPr>
              <w:t>专业知识，</w:t>
            </w:r>
            <w:r>
              <w:rPr>
                <w:rFonts w:hint="eastAsia" w:ascii="宋体" w:hAnsi="宋体"/>
                <w:sz w:val="18"/>
                <w:szCs w:val="18"/>
                <w:lang w:eastAsia="zh-CN"/>
              </w:rPr>
              <w:t>做好功能区划分、货位安排，组织好货物的出入库作业，避免货损货差</w:t>
            </w:r>
            <w:r>
              <w:rPr>
                <w:rFonts w:hint="eastAsia" w:ascii="宋体" w:hAnsi="宋体"/>
                <w:sz w:val="18"/>
                <w:szCs w:val="18"/>
              </w:rPr>
              <w:t>。</w:t>
            </w:r>
            <w:r>
              <w:rPr>
                <w:rFonts w:hint="eastAsia" w:ascii="宋体" w:hAnsi="宋体"/>
                <w:sz w:val="18"/>
                <w:szCs w:val="18"/>
                <w:lang w:eastAsia="zh-CN"/>
              </w:rPr>
              <w:t>做好货物运输业务及安全管理。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2285" w:type="dxa"/>
            <w:tcBorders>
              <w:tl2br w:val="nil"/>
              <w:tr2bl w:val="nil"/>
            </w:tcBorders>
            <w:vAlign w:val="center"/>
          </w:tcPr>
          <w:p>
            <w:pPr>
              <w:jc w:val="both"/>
              <w:rPr>
                <w:rFonts w:ascii="宋体" w:hAnsi="宋体"/>
                <w:sz w:val="18"/>
                <w:szCs w:val="18"/>
              </w:rPr>
            </w:pPr>
            <w:r>
              <w:rPr>
                <w:rFonts w:hint="eastAsia" w:ascii="宋体" w:hAnsi="宋体"/>
                <w:sz w:val="18"/>
                <w:szCs w:val="18"/>
              </w:rPr>
              <w:t>设计环节中体现创新</w:t>
            </w:r>
            <w:r>
              <w:rPr>
                <w:rFonts w:hint="eastAsia" w:ascii="宋体" w:hAnsi="宋体"/>
                <w:sz w:val="18"/>
                <w:szCs w:val="18"/>
                <w:lang w:eastAsia="zh-CN"/>
              </w:rPr>
              <w:t>创业</w:t>
            </w:r>
            <w:r>
              <w:rPr>
                <w:rFonts w:hint="eastAsia" w:ascii="宋体" w:hAnsi="宋体"/>
                <w:sz w:val="18"/>
                <w:szCs w:val="18"/>
              </w:rPr>
              <w:t>意识，考虑社会、</w:t>
            </w:r>
            <w:r>
              <w:rPr>
                <w:rFonts w:hint="eastAsia" w:ascii="宋体" w:hAnsi="宋体"/>
                <w:sz w:val="18"/>
                <w:szCs w:val="18"/>
                <w:lang w:eastAsia="zh-CN"/>
              </w:rPr>
              <w:t>经济、</w:t>
            </w:r>
            <w:r>
              <w:rPr>
                <w:rFonts w:hint="eastAsia" w:ascii="宋体" w:hAnsi="宋体"/>
                <w:sz w:val="18"/>
                <w:szCs w:val="18"/>
              </w:rPr>
              <w:t>健康、安全、法律、文化以及环境等因素。</w:t>
            </w: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6.3能够应用</w:t>
            </w:r>
            <w:r>
              <w:rPr>
                <w:rFonts w:hint="eastAsia" w:ascii="宋体" w:hAnsi="宋体"/>
                <w:sz w:val="18"/>
                <w:szCs w:val="18"/>
                <w:lang w:eastAsia="zh-CN"/>
              </w:rPr>
              <w:t>物流专业</w:t>
            </w:r>
            <w:r>
              <w:rPr>
                <w:rFonts w:hint="eastAsia" w:ascii="宋体" w:hAnsi="宋体"/>
                <w:sz w:val="18"/>
                <w:szCs w:val="18"/>
              </w:rPr>
              <w:t>知识并参考文献资料，对</w:t>
            </w:r>
            <w:r>
              <w:rPr>
                <w:rFonts w:hint="eastAsia" w:ascii="宋体" w:hAnsi="宋体"/>
                <w:sz w:val="18"/>
                <w:szCs w:val="18"/>
                <w:lang w:eastAsia="zh-CN"/>
              </w:rPr>
              <w:t>企业相关物流运营或作业</w:t>
            </w:r>
            <w:r>
              <w:rPr>
                <w:rFonts w:hint="eastAsia" w:ascii="宋体" w:hAnsi="宋体"/>
                <w:sz w:val="18"/>
                <w:szCs w:val="18"/>
              </w:rPr>
              <w:t>问题</w:t>
            </w:r>
            <w:r>
              <w:rPr>
                <w:rFonts w:hint="eastAsia" w:ascii="宋体" w:hAnsi="宋体"/>
                <w:sz w:val="18"/>
                <w:szCs w:val="18"/>
                <w:lang w:eastAsia="zh-CN"/>
              </w:rPr>
              <w:t>加以分析，提出解决对策</w:t>
            </w:r>
            <w:r>
              <w:rPr>
                <w:rFonts w:hint="eastAsia" w:ascii="宋体" w:hAnsi="宋体"/>
                <w:sz w:val="18"/>
                <w:szCs w:val="18"/>
              </w:rPr>
              <w:t>。</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能够综合运用</w:t>
            </w:r>
            <w:r>
              <w:rPr>
                <w:rFonts w:hint="eastAsia" w:ascii="宋体" w:hAnsi="宋体"/>
                <w:sz w:val="18"/>
                <w:szCs w:val="18"/>
                <w:lang w:eastAsia="zh-CN"/>
              </w:rPr>
              <w:t>物流管理</w:t>
            </w:r>
            <w:r>
              <w:rPr>
                <w:rFonts w:hint="eastAsia" w:ascii="宋体" w:hAnsi="宋体"/>
                <w:sz w:val="18"/>
                <w:szCs w:val="18"/>
              </w:rPr>
              <w:t>知识，学会文献研究方法，并参考文献资料分析解决</w:t>
            </w:r>
            <w:r>
              <w:rPr>
                <w:rFonts w:hint="eastAsia" w:ascii="宋体" w:hAnsi="宋体"/>
                <w:sz w:val="18"/>
                <w:szCs w:val="18"/>
                <w:lang w:eastAsia="zh-CN"/>
              </w:rPr>
              <w:t>物流相关问题的</w:t>
            </w:r>
            <w:r>
              <w:rPr>
                <w:rFonts w:hint="eastAsia" w:ascii="宋体" w:hAnsi="宋体"/>
                <w:sz w:val="18"/>
                <w:szCs w:val="18"/>
              </w:rPr>
              <w:t>影响因素，寻求</w:t>
            </w:r>
            <w:r>
              <w:rPr>
                <w:rFonts w:hint="eastAsia" w:ascii="宋体" w:hAnsi="宋体"/>
                <w:sz w:val="18"/>
                <w:szCs w:val="18"/>
                <w:lang w:eastAsia="zh-CN"/>
              </w:rPr>
              <w:t>针对性强的对策建议</w:t>
            </w: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restart"/>
            <w:tcBorders>
              <w:tl2br w:val="nil"/>
              <w:tr2bl w:val="nil"/>
            </w:tcBorders>
            <w:vAlign w:val="center"/>
          </w:tcPr>
          <w:p>
            <w:pPr>
              <w:jc w:val="both"/>
              <w:rPr>
                <w:rFonts w:ascii="宋体" w:hAnsi="宋体"/>
                <w:sz w:val="18"/>
                <w:szCs w:val="18"/>
              </w:rPr>
            </w:pPr>
            <w:r>
              <w:rPr>
                <w:rFonts w:hint="eastAsia" w:ascii="宋体" w:hAnsi="宋体"/>
                <w:sz w:val="18"/>
                <w:szCs w:val="18"/>
              </w:rPr>
              <w:t>毕业要求7沟通：能够就遇到的问题与业界同行及社会公众进行有效沟通和交流，具备一定的国际视野，能够在跨文化背景下进行沟通和交流。</w:t>
            </w: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7.1能够就</w:t>
            </w:r>
            <w:r>
              <w:rPr>
                <w:rFonts w:hint="eastAsia" w:ascii="宋体" w:hAnsi="宋体"/>
                <w:sz w:val="18"/>
                <w:szCs w:val="18"/>
                <w:lang w:eastAsia="zh-CN"/>
              </w:rPr>
              <w:t>物流中出现</w:t>
            </w:r>
            <w:r>
              <w:rPr>
                <w:rFonts w:hint="eastAsia" w:ascii="宋体" w:hAnsi="宋体"/>
                <w:sz w:val="18"/>
                <w:szCs w:val="18"/>
              </w:rPr>
              <w:t>的问题与业界同行及社会公众进行有效沟通和交流，包括撰写报告和设计文稿、陈述发言、清晰表达或回应指令。</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能够就专业问题，以口头、文稿、图表等方式，准确表达自己的观点，回应质疑，理解与业界同行和社会公众交流的差异性。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7.2了解本专业的国际发展状况与当代话题，具有一定国际视野和外语应用能力，并能进行有效沟通和交流。</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了解专业领域的国际发展趋势、研究热点，理解和尊重世界不同文化的差异性和多样性，具备一定的沟通和交流能力。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2285" w:type="dxa"/>
            <w:vMerge w:val="restart"/>
            <w:tcBorders>
              <w:tl2br w:val="nil"/>
              <w:tr2bl w:val="nil"/>
            </w:tcBorders>
            <w:vAlign w:val="center"/>
          </w:tcPr>
          <w:p>
            <w:pPr>
              <w:jc w:val="both"/>
              <w:rPr>
                <w:rFonts w:ascii="宋体" w:hAnsi="宋体"/>
                <w:sz w:val="18"/>
                <w:szCs w:val="18"/>
              </w:rPr>
            </w:pPr>
            <w:r>
              <w:rPr>
                <w:rFonts w:hint="eastAsia" w:ascii="宋体" w:hAnsi="宋体"/>
                <w:sz w:val="18"/>
                <w:szCs w:val="18"/>
              </w:rPr>
              <w:t>毕业要求8使用现代工具：能够选择与使用恰当的技术、资源、现代工程工具和信息技术工具去处理遇到的问题。</w:t>
            </w: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8.1掌握解决</w:t>
            </w:r>
            <w:r>
              <w:rPr>
                <w:rFonts w:hint="eastAsia" w:ascii="宋体" w:hAnsi="宋体"/>
                <w:sz w:val="18"/>
                <w:szCs w:val="18"/>
                <w:lang w:eastAsia="zh-CN"/>
              </w:rPr>
              <w:t>路线规划、业务管理</w:t>
            </w:r>
            <w:r>
              <w:rPr>
                <w:rFonts w:hint="eastAsia" w:ascii="宋体" w:hAnsi="宋体"/>
                <w:sz w:val="18"/>
                <w:szCs w:val="18"/>
              </w:rPr>
              <w:t>问题所需的现代工具和信息技术的基本知识和使用方法。</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掌握</w:t>
            </w:r>
            <w:r>
              <w:rPr>
                <w:rFonts w:hint="eastAsia" w:ascii="宋体" w:hAnsi="宋体"/>
                <w:sz w:val="18"/>
                <w:szCs w:val="18"/>
                <w:lang w:eastAsia="zh-CN"/>
              </w:rPr>
              <w:t>物流管理</w:t>
            </w:r>
            <w:r>
              <w:rPr>
                <w:rFonts w:hint="eastAsia" w:ascii="宋体" w:hAnsi="宋体"/>
                <w:sz w:val="18"/>
                <w:szCs w:val="18"/>
              </w:rPr>
              <w:t>专业常用的现代工具、信息技术工具和模拟软件的使用原理和方法，并理解其局限性。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8.2能够针对</w:t>
            </w:r>
            <w:r>
              <w:rPr>
                <w:rFonts w:hint="eastAsia" w:ascii="宋体" w:hAnsi="宋体"/>
                <w:sz w:val="18"/>
                <w:szCs w:val="18"/>
                <w:lang w:eastAsia="zh-CN"/>
              </w:rPr>
              <w:t>物流</w:t>
            </w:r>
            <w:r>
              <w:rPr>
                <w:rFonts w:hint="eastAsia" w:ascii="宋体" w:hAnsi="宋体"/>
                <w:sz w:val="18"/>
                <w:szCs w:val="18"/>
              </w:rPr>
              <w:t>领域的问题，选择、开发和使用恰当的技术、资源、现代工程工具和信息技术工具，对问题进行模拟分析、预测或控制。</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能够针对具体</w:t>
            </w:r>
            <w:r>
              <w:rPr>
                <w:rFonts w:hint="eastAsia" w:ascii="宋体" w:hAnsi="宋体"/>
                <w:sz w:val="18"/>
                <w:szCs w:val="18"/>
                <w:lang w:eastAsia="zh-CN"/>
              </w:rPr>
              <w:t>物流管理中业务问题</w:t>
            </w:r>
            <w:r>
              <w:rPr>
                <w:rFonts w:hint="eastAsia" w:ascii="宋体" w:hAnsi="宋体"/>
                <w:sz w:val="18"/>
                <w:szCs w:val="18"/>
              </w:rPr>
              <w:t>合理选择、开发和使用相应现代工具、信息技术工具和模拟软件，对问题进行分析、预测或控制。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8.3理解现代信息技术工具解决</w:t>
            </w:r>
            <w:r>
              <w:rPr>
                <w:rFonts w:hint="eastAsia" w:ascii="宋体" w:hAnsi="宋体"/>
                <w:sz w:val="18"/>
                <w:szCs w:val="18"/>
                <w:lang w:eastAsia="zh-CN"/>
              </w:rPr>
              <w:t>物流业务</w:t>
            </w:r>
            <w:r>
              <w:rPr>
                <w:rFonts w:hint="eastAsia" w:ascii="宋体" w:hAnsi="宋体"/>
                <w:sz w:val="18"/>
                <w:szCs w:val="18"/>
              </w:rPr>
              <w:t>问题的局限性。</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能够针对具体的对象的分析、计算结果，理解信息技术工具解决</w:t>
            </w:r>
            <w:r>
              <w:rPr>
                <w:rFonts w:hint="eastAsia" w:ascii="宋体" w:hAnsi="宋体"/>
                <w:sz w:val="18"/>
                <w:szCs w:val="18"/>
                <w:lang w:eastAsia="zh-CN"/>
              </w:rPr>
              <w:t>业务管理</w:t>
            </w:r>
            <w:r>
              <w:rPr>
                <w:rFonts w:hint="eastAsia" w:ascii="宋体" w:hAnsi="宋体"/>
                <w:sz w:val="18"/>
                <w:szCs w:val="18"/>
              </w:rPr>
              <w:t>问题的局限性。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restart"/>
            <w:tcBorders>
              <w:tl2br w:val="nil"/>
              <w:tr2bl w:val="nil"/>
            </w:tcBorders>
            <w:vAlign w:val="center"/>
          </w:tcPr>
          <w:p>
            <w:pPr>
              <w:jc w:val="both"/>
              <w:rPr>
                <w:rFonts w:ascii="宋体" w:hAnsi="宋体"/>
                <w:sz w:val="18"/>
                <w:szCs w:val="18"/>
              </w:rPr>
            </w:pPr>
            <w:r>
              <w:rPr>
                <w:rFonts w:hint="eastAsia" w:ascii="宋体" w:hAnsi="宋体"/>
                <w:sz w:val="18"/>
                <w:szCs w:val="18"/>
              </w:rPr>
              <w:t>毕业要求9团队协作：能够在多学科背景下的团队中承担个体、团队成员以及负责人的角色。</w:t>
            </w: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9.1能够理解个人在团队中的角色定位以及对于整个团队的意义。</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能够与其他学科的成员有效沟通，合作共事。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9.2能够在团队中承担相应的职</w:t>
            </w:r>
          </w:p>
          <w:p>
            <w:pPr>
              <w:jc w:val="both"/>
              <w:rPr>
                <w:rFonts w:ascii="宋体" w:hAnsi="宋体"/>
                <w:sz w:val="18"/>
                <w:szCs w:val="18"/>
              </w:rPr>
            </w:pPr>
            <w:r>
              <w:rPr>
                <w:rFonts w:hint="eastAsia" w:ascii="宋体" w:hAnsi="宋体"/>
                <w:sz w:val="18"/>
                <w:szCs w:val="18"/>
              </w:rPr>
              <w:t>责，包括担任负责人，并能与其他成员协同合作</w:t>
            </w:r>
            <w:r>
              <w:rPr>
                <w:rFonts w:hint="eastAsia" w:ascii="宋体" w:hAnsi="宋体"/>
                <w:b/>
                <w:sz w:val="18"/>
                <w:szCs w:val="18"/>
              </w:rPr>
              <w:t>。</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能够在团队中独立或合作开展工</w:t>
            </w:r>
          </w:p>
          <w:p>
            <w:pPr>
              <w:jc w:val="both"/>
              <w:rPr>
                <w:rFonts w:ascii="宋体" w:hAnsi="宋体"/>
                <w:sz w:val="18"/>
                <w:szCs w:val="18"/>
              </w:rPr>
            </w:pPr>
            <w:r>
              <w:rPr>
                <w:rFonts w:hint="eastAsia" w:ascii="宋体" w:hAnsi="宋体"/>
                <w:sz w:val="18"/>
                <w:szCs w:val="18"/>
              </w:rPr>
              <w:t>作，能够组织、协调和指挥团队开展工作。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85" w:type="dxa"/>
            <w:vMerge w:val="restart"/>
            <w:tcBorders>
              <w:tl2br w:val="nil"/>
              <w:tr2bl w:val="nil"/>
            </w:tcBorders>
            <w:vAlign w:val="center"/>
          </w:tcPr>
          <w:p>
            <w:pPr>
              <w:jc w:val="both"/>
              <w:rPr>
                <w:rFonts w:ascii="宋体" w:hAnsi="宋体"/>
                <w:sz w:val="18"/>
                <w:szCs w:val="18"/>
              </w:rPr>
            </w:pPr>
            <w:r>
              <w:rPr>
                <w:rFonts w:hint="eastAsia" w:ascii="宋体" w:hAnsi="宋体"/>
                <w:sz w:val="18"/>
                <w:szCs w:val="18"/>
              </w:rPr>
              <w:t>毕业要求10工匠精神：培育精益求精的工匠精神。以认真、严谨、严格、严肃的态度，专注做事、专心工作，精雕细琢、用心钻研、持续改进、精益求精。</w:t>
            </w: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10.1认真严谨严格严肃的工作态度。</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态度决定高度。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10.2专注做事、专心工作。</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专注。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10.3精雕细琢、用心钻研、持续改进、精益求精。</w:t>
            </w:r>
          </w:p>
        </w:tc>
        <w:tc>
          <w:tcPr>
            <w:tcW w:w="3275" w:type="dxa"/>
            <w:tcBorders>
              <w:tl2br w:val="nil"/>
              <w:tr2bl w:val="nil"/>
            </w:tcBorders>
            <w:vAlign w:val="center"/>
          </w:tcPr>
          <w:p>
            <w:pPr>
              <w:jc w:val="both"/>
              <w:rPr>
                <w:rFonts w:ascii="宋体" w:hAnsi="宋体"/>
                <w:color w:val="FF0000"/>
                <w:sz w:val="18"/>
                <w:szCs w:val="18"/>
              </w:rPr>
            </w:pPr>
            <w:r>
              <w:rPr>
                <w:rFonts w:hint="eastAsia" w:ascii="宋体" w:hAnsi="宋体"/>
                <w:color w:val="000000"/>
                <w:sz w:val="18"/>
                <w:szCs w:val="18"/>
              </w:rPr>
              <w:t>精雕细琢、精益求精。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restart"/>
            <w:tcBorders>
              <w:tl2br w:val="nil"/>
              <w:tr2bl w:val="nil"/>
            </w:tcBorders>
            <w:vAlign w:val="center"/>
          </w:tcPr>
          <w:p>
            <w:pPr>
              <w:jc w:val="both"/>
              <w:rPr>
                <w:rFonts w:ascii="宋体" w:hAnsi="宋体"/>
                <w:sz w:val="18"/>
                <w:szCs w:val="18"/>
              </w:rPr>
            </w:pPr>
            <w:r>
              <w:rPr>
                <w:rFonts w:hint="eastAsia" w:ascii="宋体" w:hAnsi="宋体"/>
                <w:sz w:val="18"/>
                <w:szCs w:val="18"/>
              </w:rPr>
              <w:t>毕业要求11管理：掌握现代企业</w:t>
            </w:r>
            <w:r>
              <w:rPr>
                <w:rFonts w:hint="eastAsia" w:ascii="宋体" w:hAnsi="宋体"/>
                <w:sz w:val="18"/>
                <w:szCs w:val="18"/>
                <w:lang w:eastAsia="zh-CN"/>
              </w:rPr>
              <w:t>经营与</w:t>
            </w:r>
            <w:r>
              <w:rPr>
                <w:rFonts w:hint="eastAsia" w:ascii="宋体" w:hAnsi="宋体"/>
                <w:sz w:val="18"/>
                <w:szCs w:val="18"/>
              </w:rPr>
              <w:t>管理的方法，并能在日常工作生活中应用。</w:t>
            </w: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11.1 理解</w:t>
            </w:r>
            <w:r>
              <w:rPr>
                <w:rFonts w:hint="eastAsia" w:ascii="宋体" w:hAnsi="宋体"/>
                <w:sz w:val="18"/>
                <w:szCs w:val="18"/>
                <w:lang w:eastAsia="zh-CN"/>
              </w:rPr>
              <w:t>物流运营管理及其业务活动</w:t>
            </w:r>
            <w:r>
              <w:rPr>
                <w:rFonts w:hint="eastAsia" w:ascii="宋体" w:hAnsi="宋体"/>
                <w:sz w:val="18"/>
                <w:szCs w:val="18"/>
              </w:rPr>
              <w:t>中的重要经济与管理因素。</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掌握</w:t>
            </w:r>
            <w:r>
              <w:rPr>
                <w:rFonts w:hint="eastAsia" w:ascii="宋体" w:hAnsi="宋体"/>
                <w:sz w:val="18"/>
                <w:szCs w:val="18"/>
                <w:lang w:eastAsia="zh-CN"/>
              </w:rPr>
              <w:t>物流项目管理中</w:t>
            </w:r>
            <w:r>
              <w:rPr>
                <w:rFonts w:hint="eastAsia" w:ascii="宋体" w:hAnsi="宋体"/>
                <w:sz w:val="18"/>
                <w:szCs w:val="18"/>
              </w:rPr>
              <w:t>涉及的管理与经济决策方法，</w:t>
            </w:r>
            <w:r>
              <w:rPr>
                <w:rFonts w:hint="eastAsia" w:ascii="宋体" w:hAnsi="宋体"/>
                <w:sz w:val="18"/>
                <w:szCs w:val="18"/>
                <w:lang w:eastAsia="zh-CN"/>
              </w:rPr>
              <w:t>学会并善于从经济上技术上对方案作论证，特别注意物流运营或作业中的成本控制与效益体现</w:t>
            </w: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11.2 能够</w:t>
            </w:r>
            <w:r>
              <w:rPr>
                <w:rFonts w:hint="eastAsia" w:ascii="宋体" w:hAnsi="宋体"/>
                <w:sz w:val="18"/>
                <w:szCs w:val="18"/>
                <w:lang w:eastAsia="zh-CN"/>
              </w:rPr>
              <w:t>成本核算理念、计划理念、形象与服务理念贯穿于经营全过程</w:t>
            </w:r>
            <w:r>
              <w:rPr>
                <w:rFonts w:hint="eastAsia" w:ascii="宋体" w:hAnsi="宋体"/>
                <w:sz w:val="18"/>
                <w:szCs w:val="18"/>
              </w:rPr>
              <w:t>。</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能在</w:t>
            </w:r>
            <w:r>
              <w:rPr>
                <w:rFonts w:hint="eastAsia" w:ascii="宋体" w:hAnsi="宋体"/>
                <w:sz w:val="18"/>
                <w:szCs w:val="18"/>
                <w:lang w:eastAsia="zh-CN"/>
              </w:rPr>
              <w:t>综合应用所学物流管理专业知识，包括管理、采购、仓储、配送、供应链、货代等专业知识应用于日常的物流项目运营中，高效完成物流作业与业务</w:t>
            </w: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restart"/>
            <w:tcBorders>
              <w:tl2br w:val="nil"/>
              <w:tr2bl w:val="nil"/>
            </w:tcBorders>
            <w:vAlign w:val="center"/>
          </w:tcPr>
          <w:p>
            <w:pPr>
              <w:jc w:val="both"/>
              <w:rPr>
                <w:rFonts w:ascii="宋体" w:hAnsi="宋体"/>
                <w:sz w:val="18"/>
                <w:szCs w:val="18"/>
              </w:rPr>
            </w:pPr>
            <w:r>
              <w:rPr>
                <w:rFonts w:hint="eastAsia" w:ascii="宋体" w:hAnsi="宋体"/>
                <w:sz w:val="18"/>
                <w:szCs w:val="18"/>
              </w:rPr>
              <w:t>毕业要求12终身学习：具有自主学习和终身学习的意识，有不断学习和适应发展的能力</w:t>
            </w: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12.1 具有自主学习和终身学习的意识。</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能在社会发展的大背景下，认识到自主和终身学习的必要性。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vMerge w:val="continue"/>
            <w:tcBorders>
              <w:tl2br w:val="nil"/>
              <w:tr2bl w:val="nil"/>
            </w:tcBorders>
            <w:vAlign w:val="center"/>
          </w:tcPr>
          <w:p>
            <w:pPr>
              <w:jc w:val="both"/>
              <w:rPr>
                <w:rFonts w:ascii="宋体" w:hAnsi="宋体"/>
                <w:sz w:val="18"/>
                <w:szCs w:val="18"/>
              </w:rPr>
            </w:pPr>
          </w:p>
        </w:tc>
        <w:tc>
          <w:tcPr>
            <w:tcW w:w="3544" w:type="dxa"/>
            <w:tcBorders>
              <w:tl2br w:val="nil"/>
              <w:tr2bl w:val="nil"/>
            </w:tcBorders>
            <w:vAlign w:val="center"/>
          </w:tcPr>
          <w:p>
            <w:pPr>
              <w:jc w:val="both"/>
              <w:rPr>
                <w:rFonts w:ascii="宋体" w:hAnsi="宋体"/>
                <w:sz w:val="18"/>
                <w:szCs w:val="18"/>
              </w:rPr>
            </w:pPr>
            <w:r>
              <w:rPr>
                <w:rFonts w:hint="eastAsia" w:ascii="宋体" w:hAnsi="宋体"/>
                <w:sz w:val="18"/>
                <w:szCs w:val="18"/>
              </w:rPr>
              <w:t>12.2 能够主动跟踪行业发展，具有不断学习和适应专业和社会发展的能力。</w:t>
            </w:r>
          </w:p>
        </w:tc>
        <w:tc>
          <w:tcPr>
            <w:tcW w:w="3275" w:type="dxa"/>
            <w:tcBorders>
              <w:tl2br w:val="nil"/>
              <w:tr2bl w:val="nil"/>
            </w:tcBorders>
            <w:vAlign w:val="center"/>
          </w:tcPr>
          <w:p>
            <w:pPr>
              <w:jc w:val="both"/>
              <w:rPr>
                <w:rFonts w:ascii="宋体" w:hAnsi="宋体"/>
                <w:sz w:val="18"/>
                <w:szCs w:val="18"/>
              </w:rPr>
            </w:pPr>
            <w:r>
              <w:rPr>
                <w:rFonts w:hint="eastAsia" w:ascii="宋体" w:hAnsi="宋体"/>
                <w:sz w:val="18"/>
                <w:szCs w:val="18"/>
              </w:rPr>
              <w:t>具有自主学习的能力，包括对</w:t>
            </w:r>
            <w:r>
              <w:rPr>
                <w:rFonts w:hint="eastAsia" w:ascii="宋体" w:hAnsi="宋体"/>
                <w:sz w:val="18"/>
                <w:szCs w:val="18"/>
                <w:lang w:eastAsia="zh-CN"/>
              </w:rPr>
              <w:t>现代科技特别是智慧物流</w:t>
            </w:r>
            <w:r>
              <w:rPr>
                <w:rFonts w:hint="eastAsia" w:ascii="宋体" w:hAnsi="宋体"/>
                <w:sz w:val="18"/>
                <w:szCs w:val="18"/>
              </w:rPr>
              <w:t>问题的理解能力，归纳总结的能力和提出问题的能力等。</w:t>
            </w:r>
          </w:p>
        </w:tc>
      </w:tr>
    </w:tbl>
    <w:p>
      <w:pPr>
        <w:widowControl/>
        <w:jc w:val="center"/>
        <w:rPr>
          <w:rFonts w:ascii="宋体" w:hAnsi="宋体" w:cs="宋体"/>
          <w:color w:val="000000"/>
          <w:kern w:val="0"/>
          <w:sz w:val="24"/>
          <w:szCs w:val="24"/>
        </w:rPr>
      </w:pPr>
    </w:p>
    <w:p>
      <w:pPr>
        <w:widowControl/>
        <w:spacing w:line="440" w:lineRule="exact"/>
        <w:jc w:val="center"/>
        <w:rPr>
          <w:rFonts w:ascii="宋体" w:hAnsi="宋体" w:cs="宋体"/>
          <w:color w:val="000000"/>
          <w:kern w:val="0"/>
          <w:sz w:val="24"/>
          <w:szCs w:val="24"/>
        </w:rPr>
        <w:sectPr>
          <w:footerReference r:id="rId4" w:type="first"/>
          <w:footerReference r:id="rId3" w:type="default"/>
          <w:pgSz w:w="11906" w:h="16838"/>
          <w:pgMar w:top="1440" w:right="1418" w:bottom="1440" w:left="1418" w:header="851" w:footer="992" w:gutter="0"/>
          <w:pgNumType w:fmt="decimal" w:start="1"/>
          <w:cols w:space="720" w:num="1"/>
          <w:titlePg/>
          <w:docGrid w:type="lines" w:linePitch="312" w:charSpace="0"/>
        </w:sectPr>
      </w:pPr>
    </w:p>
    <w:p>
      <w:pPr>
        <w:widowControl/>
        <w:spacing w:line="440" w:lineRule="exact"/>
        <w:ind w:firstLine="480" w:firstLineChars="200"/>
        <w:jc w:val="left"/>
        <w:rPr>
          <w:rFonts w:ascii="宋体" w:hAnsi="宋体" w:cs="宋体"/>
          <w:kern w:val="0"/>
          <w:sz w:val="24"/>
          <w:szCs w:val="24"/>
        </w:rPr>
      </w:pPr>
      <w:bookmarkStart w:id="19" w:name="_Ref1069"/>
      <w:r>
        <w:rPr>
          <w:rFonts w:hint="eastAsia" w:ascii="宋体" w:hAnsi="宋体" w:cs="宋体"/>
          <w:kern w:val="0"/>
          <w:sz w:val="24"/>
          <w:szCs w:val="24"/>
        </w:rPr>
        <w:t>结合专业课程体系，填写下表。</w:t>
      </w:r>
    </w:p>
    <w:bookmarkEnd w:id="19"/>
    <w:p>
      <w:pPr>
        <w:widowControl/>
        <w:spacing w:line="440" w:lineRule="exact"/>
        <w:jc w:val="center"/>
        <w:rPr>
          <w:sz w:val="24"/>
          <w:szCs w:val="24"/>
        </w:rPr>
      </w:pPr>
      <w:r>
        <w:rPr>
          <w:sz w:val="24"/>
          <w:szCs w:val="24"/>
        </w:rPr>
        <w:t>表</w:t>
      </w:r>
      <w:r>
        <w:rPr>
          <w:rFonts w:hint="eastAsia"/>
          <w:sz w:val="24"/>
          <w:szCs w:val="24"/>
        </w:rPr>
        <w:t xml:space="preserve">13 </w:t>
      </w:r>
      <w:r>
        <w:rPr>
          <w:rFonts w:hint="eastAsia"/>
          <w:sz w:val="24"/>
          <w:szCs w:val="24"/>
          <w:lang w:eastAsia="zh-CN"/>
        </w:rPr>
        <w:t>现代物流管理</w:t>
      </w:r>
      <w:r>
        <w:rPr>
          <w:rFonts w:hint="eastAsia"/>
          <w:sz w:val="24"/>
          <w:szCs w:val="24"/>
        </w:rPr>
        <w:t>专业</w:t>
      </w:r>
      <w:r>
        <w:rPr>
          <w:sz w:val="24"/>
          <w:szCs w:val="24"/>
        </w:rPr>
        <w:t>课程体系对毕业要求指标点的支撑关系</w:t>
      </w:r>
    </w:p>
    <w:tbl>
      <w:tblPr>
        <w:tblStyle w:val="10"/>
        <w:tblW w:w="14431" w:type="dxa"/>
        <w:jc w:val="center"/>
        <w:tblLayout w:type="fixed"/>
        <w:tblCellMar>
          <w:top w:w="0" w:type="dxa"/>
          <w:left w:w="108" w:type="dxa"/>
          <w:bottom w:w="0" w:type="dxa"/>
          <w:right w:w="108" w:type="dxa"/>
        </w:tblCellMar>
      </w:tblPr>
      <w:tblGrid>
        <w:gridCol w:w="1518"/>
        <w:gridCol w:w="403"/>
        <w:gridCol w:w="403"/>
        <w:gridCol w:w="416"/>
        <w:gridCol w:w="404"/>
        <w:gridCol w:w="404"/>
        <w:gridCol w:w="416"/>
        <w:gridCol w:w="404"/>
        <w:gridCol w:w="404"/>
        <w:gridCol w:w="416"/>
        <w:gridCol w:w="404"/>
        <w:gridCol w:w="413"/>
        <w:gridCol w:w="404"/>
        <w:gridCol w:w="404"/>
        <w:gridCol w:w="416"/>
        <w:gridCol w:w="404"/>
        <w:gridCol w:w="441"/>
        <w:gridCol w:w="419"/>
        <w:gridCol w:w="407"/>
        <w:gridCol w:w="407"/>
        <w:gridCol w:w="404"/>
        <w:gridCol w:w="381"/>
        <w:gridCol w:w="479"/>
        <w:gridCol w:w="404"/>
        <w:gridCol w:w="413"/>
        <w:gridCol w:w="404"/>
        <w:gridCol w:w="531"/>
        <w:gridCol w:w="474"/>
        <w:gridCol w:w="404"/>
        <w:gridCol w:w="410"/>
        <w:gridCol w:w="404"/>
        <w:gridCol w:w="416"/>
      </w:tblGrid>
      <w:tr>
        <w:tblPrEx>
          <w:tblCellMar>
            <w:top w:w="0" w:type="dxa"/>
            <w:left w:w="108" w:type="dxa"/>
            <w:bottom w:w="0" w:type="dxa"/>
            <w:right w:w="108" w:type="dxa"/>
          </w:tblCellMar>
        </w:tblPrEx>
        <w:trPr>
          <w:trHeight w:val="23" w:hRule="atLeast"/>
          <w:tblHeader/>
          <w:jc w:val="center"/>
        </w:trPr>
        <w:tc>
          <w:tcPr>
            <w:tcW w:w="1518" w:type="dxa"/>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DCD8C0"/>
            <w:vAlign w:val="center"/>
          </w:tcPr>
          <w:p>
            <w:pPr>
              <w:ind w:firstLine="360" w:firstLineChars="20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指标点</w:t>
            </w:r>
          </w:p>
          <w:p>
            <w:pPr>
              <w:jc w:val="both"/>
              <w:rPr>
                <w:rFonts w:hint="default" w:ascii="Times New Roman" w:hAnsi="Times New Roman" w:eastAsia="宋体" w:cs="Times New Roman"/>
                <w:sz w:val="18"/>
                <w:szCs w:val="18"/>
              </w:rPr>
            </w:pPr>
          </w:p>
          <w:p>
            <w:pPr>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课程名称</w:t>
            </w:r>
          </w:p>
        </w:tc>
        <w:tc>
          <w:tcPr>
            <w:tcW w:w="1222" w:type="dxa"/>
            <w:gridSpan w:val="3"/>
            <w:tcBorders>
              <w:top w:val="single" w:color="auto" w:sz="4" w:space="0"/>
              <w:left w:val="nil"/>
              <w:bottom w:val="single" w:color="auto" w:sz="4" w:space="0"/>
              <w:right w:val="single" w:color="auto" w:sz="4" w:space="0"/>
            </w:tcBorders>
            <w:shd w:val="clear" w:color="auto" w:fill="DCD8C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1.爱国主义情怀</w:t>
            </w:r>
          </w:p>
        </w:tc>
        <w:tc>
          <w:tcPr>
            <w:tcW w:w="1224" w:type="dxa"/>
            <w:gridSpan w:val="3"/>
            <w:tcBorders>
              <w:top w:val="single" w:color="auto" w:sz="4" w:space="0"/>
              <w:left w:val="nil"/>
              <w:bottom w:val="single" w:color="auto" w:sz="4" w:space="0"/>
              <w:right w:val="single" w:color="auto" w:sz="4" w:space="0"/>
            </w:tcBorders>
            <w:shd w:val="clear" w:color="auto" w:fill="DCD8C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2.法制意识</w:t>
            </w:r>
          </w:p>
        </w:tc>
        <w:tc>
          <w:tcPr>
            <w:tcW w:w="1224" w:type="dxa"/>
            <w:gridSpan w:val="3"/>
            <w:tcBorders>
              <w:top w:val="single" w:color="auto" w:sz="4" w:space="0"/>
              <w:left w:val="nil"/>
              <w:bottom w:val="single" w:color="auto" w:sz="4" w:space="0"/>
              <w:right w:val="single" w:color="auto" w:sz="4" w:space="0"/>
            </w:tcBorders>
            <w:shd w:val="clear" w:color="auto" w:fill="DCD8C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 SEQ意识</w:t>
            </w:r>
          </w:p>
        </w:tc>
        <w:tc>
          <w:tcPr>
            <w:tcW w:w="817" w:type="dxa"/>
            <w:gridSpan w:val="2"/>
            <w:tcBorders>
              <w:top w:val="single" w:color="auto" w:sz="4" w:space="0"/>
              <w:left w:val="nil"/>
              <w:bottom w:val="single" w:color="auto" w:sz="4" w:space="0"/>
              <w:right w:val="single" w:color="auto" w:sz="4" w:space="0"/>
            </w:tcBorders>
            <w:shd w:val="clear" w:color="auto" w:fill="DCD8C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4.职业规范</w:t>
            </w:r>
          </w:p>
        </w:tc>
        <w:tc>
          <w:tcPr>
            <w:tcW w:w="1224" w:type="dxa"/>
            <w:gridSpan w:val="3"/>
            <w:tcBorders>
              <w:top w:val="single" w:color="auto" w:sz="4" w:space="0"/>
              <w:left w:val="nil"/>
              <w:bottom w:val="single" w:color="auto" w:sz="4" w:space="0"/>
              <w:right w:val="single" w:color="auto" w:sz="4" w:space="0"/>
            </w:tcBorders>
            <w:shd w:val="clear" w:color="auto" w:fill="DCD8C0"/>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rPr>
              <w:t>5.</w:t>
            </w:r>
            <w:r>
              <w:rPr>
                <w:rFonts w:hint="default" w:ascii="Times New Roman" w:hAnsi="Times New Roman" w:eastAsia="宋体" w:cs="Times New Roman"/>
                <w:sz w:val="18"/>
                <w:szCs w:val="18"/>
                <w:lang w:eastAsia="zh-CN"/>
              </w:rPr>
              <w:t>物流</w:t>
            </w: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专业知识</w:t>
            </w:r>
          </w:p>
        </w:tc>
        <w:tc>
          <w:tcPr>
            <w:tcW w:w="1264" w:type="dxa"/>
            <w:gridSpan w:val="3"/>
            <w:tcBorders>
              <w:top w:val="single" w:color="auto" w:sz="4" w:space="0"/>
              <w:left w:val="nil"/>
              <w:bottom w:val="single" w:color="auto" w:sz="4" w:space="0"/>
              <w:right w:val="single" w:color="auto" w:sz="4" w:space="0"/>
            </w:tcBorders>
            <w:shd w:val="clear" w:color="auto" w:fill="DCD8C0"/>
            <w:vAlign w:val="center"/>
          </w:tcPr>
          <w:p>
            <w:pPr>
              <w:numPr>
                <w:ilvl w:val="0"/>
                <w:numId w:val="0"/>
              </w:numPr>
              <w:jc w:val="center"/>
              <w:rPr>
                <w:rFonts w:hint="default" w:ascii="Times New Roman" w:hAnsi="Times New Roman" w:eastAsia="宋体" w:cs="Times New Roman"/>
                <w:sz w:val="18"/>
                <w:szCs w:val="18"/>
              </w:rPr>
            </w:pPr>
            <w:r>
              <w:rPr>
                <w:rFonts w:hint="default" w:ascii="Times New Roman" w:hAnsi="Times New Roman" w:eastAsia="宋体" w:cs="Times New Roman"/>
                <w:kern w:val="2"/>
                <w:sz w:val="18"/>
                <w:szCs w:val="18"/>
                <w:lang w:val="en-US" w:eastAsia="zh-CN" w:bidi="ar-SA"/>
              </w:rPr>
              <w:t>6.</w:t>
            </w:r>
            <w:r>
              <w:rPr>
                <w:rFonts w:hint="default" w:ascii="Times New Roman" w:hAnsi="Times New Roman" w:eastAsia="宋体" w:cs="Times New Roman"/>
                <w:sz w:val="18"/>
                <w:szCs w:val="18"/>
              </w:rPr>
              <w:t>分析解决</w:t>
            </w:r>
          </w:p>
          <w:p>
            <w:pPr>
              <w:numPr>
                <w:ilvl w:val="0"/>
                <w:numId w:val="0"/>
              </w:num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问题</w:t>
            </w:r>
          </w:p>
        </w:tc>
        <w:tc>
          <w:tcPr>
            <w:tcW w:w="814" w:type="dxa"/>
            <w:gridSpan w:val="2"/>
            <w:tcBorders>
              <w:top w:val="single" w:color="auto" w:sz="4" w:space="0"/>
              <w:left w:val="nil"/>
              <w:bottom w:val="single" w:color="auto" w:sz="4" w:space="0"/>
              <w:right w:val="single" w:color="auto" w:sz="4" w:space="0"/>
            </w:tcBorders>
            <w:shd w:val="clear" w:color="auto" w:fill="DCD8C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7.沟通</w:t>
            </w:r>
          </w:p>
        </w:tc>
        <w:tc>
          <w:tcPr>
            <w:tcW w:w="1264" w:type="dxa"/>
            <w:gridSpan w:val="3"/>
            <w:tcBorders>
              <w:top w:val="single" w:color="auto" w:sz="4" w:space="0"/>
              <w:left w:val="nil"/>
              <w:bottom w:val="single" w:color="auto" w:sz="4" w:space="0"/>
              <w:right w:val="single" w:color="auto" w:sz="4" w:space="0"/>
            </w:tcBorders>
            <w:shd w:val="clear" w:color="auto" w:fill="DCD8C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8.使用现代</w:t>
            </w: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工具</w:t>
            </w:r>
          </w:p>
        </w:tc>
        <w:tc>
          <w:tcPr>
            <w:tcW w:w="817" w:type="dxa"/>
            <w:gridSpan w:val="2"/>
            <w:tcBorders>
              <w:top w:val="single" w:color="auto" w:sz="4" w:space="0"/>
              <w:left w:val="nil"/>
              <w:bottom w:val="single" w:color="auto" w:sz="4" w:space="0"/>
              <w:right w:val="single" w:color="auto" w:sz="4" w:space="0"/>
            </w:tcBorders>
            <w:shd w:val="clear" w:color="auto" w:fill="DCD8C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9.团队协作</w:t>
            </w:r>
          </w:p>
        </w:tc>
        <w:tc>
          <w:tcPr>
            <w:tcW w:w="1409" w:type="dxa"/>
            <w:gridSpan w:val="3"/>
            <w:tcBorders>
              <w:top w:val="single" w:color="auto" w:sz="4" w:space="0"/>
              <w:left w:val="nil"/>
              <w:bottom w:val="single" w:color="auto" w:sz="4" w:space="0"/>
              <w:right w:val="single" w:color="auto" w:sz="4" w:space="0"/>
            </w:tcBorders>
            <w:shd w:val="clear" w:color="auto" w:fill="DCD8C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10.工匠精神</w:t>
            </w:r>
          </w:p>
        </w:tc>
        <w:tc>
          <w:tcPr>
            <w:tcW w:w="814" w:type="dxa"/>
            <w:gridSpan w:val="2"/>
            <w:tcBorders>
              <w:top w:val="single" w:color="auto" w:sz="4" w:space="0"/>
              <w:left w:val="nil"/>
              <w:bottom w:val="single" w:color="auto" w:sz="4" w:space="0"/>
              <w:right w:val="single" w:color="auto" w:sz="4" w:space="0"/>
            </w:tcBorders>
            <w:shd w:val="clear" w:color="auto" w:fill="DCD8C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11.管理</w:t>
            </w:r>
          </w:p>
        </w:tc>
        <w:tc>
          <w:tcPr>
            <w:tcW w:w="820" w:type="dxa"/>
            <w:gridSpan w:val="2"/>
            <w:tcBorders>
              <w:top w:val="single" w:color="auto" w:sz="4" w:space="0"/>
              <w:left w:val="nil"/>
              <w:bottom w:val="single" w:color="auto" w:sz="4" w:space="0"/>
              <w:right w:val="single" w:color="auto" w:sz="4" w:space="0"/>
            </w:tcBorders>
            <w:shd w:val="clear" w:color="auto" w:fill="DCD8C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12.终身学习</w:t>
            </w:r>
          </w:p>
        </w:tc>
      </w:tr>
      <w:tr>
        <w:tblPrEx>
          <w:tblCellMar>
            <w:top w:w="0" w:type="dxa"/>
            <w:left w:w="108" w:type="dxa"/>
            <w:bottom w:w="0" w:type="dxa"/>
            <w:right w:w="108" w:type="dxa"/>
          </w:tblCellMar>
        </w:tblPrEx>
        <w:trPr>
          <w:trHeight w:val="23" w:hRule="atLeast"/>
          <w:tblHeader/>
          <w:jc w:val="center"/>
        </w:trPr>
        <w:tc>
          <w:tcPr>
            <w:tcW w:w="1518" w:type="dxa"/>
            <w:vMerge w:val="continue"/>
            <w:tcBorders>
              <w:top w:val="single" w:color="auto" w:sz="4" w:space="0"/>
              <w:left w:val="single" w:color="auto" w:sz="4" w:space="0"/>
              <w:bottom w:val="single" w:color="auto" w:sz="4" w:space="0"/>
              <w:right w:val="single" w:color="auto" w:sz="4" w:space="0"/>
            </w:tcBorders>
            <w:shd w:val="clear" w:color="auto" w:fill="DCD8C0"/>
            <w:vAlign w:val="center"/>
          </w:tcPr>
          <w:p>
            <w:pPr>
              <w:jc w:val="center"/>
              <w:rPr>
                <w:rFonts w:hint="default" w:ascii="Times New Roman" w:hAnsi="Times New Roman" w:eastAsia="宋体" w:cs="Times New Roman"/>
                <w:sz w:val="18"/>
                <w:szCs w:val="18"/>
              </w:rPr>
            </w:pPr>
          </w:p>
        </w:tc>
        <w:tc>
          <w:tcPr>
            <w:tcW w:w="403"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w:t>
            </w:r>
          </w:p>
        </w:tc>
        <w:tc>
          <w:tcPr>
            <w:tcW w:w="403"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w:t>
            </w:r>
          </w:p>
        </w:tc>
        <w:tc>
          <w:tcPr>
            <w:tcW w:w="416"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w:t>
            </w:r>
          </w:p>
        </w:tc>
        <w:tc>
          <w:tcPr>
            <w:tcW w:w="404"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w:t>
            </w:r>
          </w:p>
        </w:tc>
        <w:tc>
          <w:tcPr>
            <w:tcW w:w="404"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w:t>
            </w:r>
          </w:p>
        </w:tc>
        <w:tc>
          <w:tcPr>
            <w:tcW w:w="416"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w:t>
            </w:r>
          </w:p>
        </w:tc>
        <w:tc>
          <w:tcPr>
            <w:tcW w:w="404"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w:t>
            </w:r>
          </w:p>
        </w:tc>
        <w:tc>
          <w:tcPr>
            <w:tcW w:w="404"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w:t>
            </w:r>
          </w:p>
        </w:tc>
        <w:tc>
          <w:tcPr>
            <w:tcW w:w="416"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w:t>
            </w:r>
          </w:p>
        </w:tc>
        <w:tc>
          <w:tcPr>
            <w:tcW w:w="404"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w:t>
            </w:r>
          </w:p>
        </w:tc>
        <w:tc>
          <w:tcPr>
            <w:tcW w:w="413"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w:t>
            </w:r>
          </w:p>
        </w:tc>
        <w:tc>
          <w:tcPr>
            <w:tcW w:w="404"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w:t>
            </w:r>
          </w:p>
        </w:tc>
        <w:tc>
          <w:tcPr>
            <w:tcW w:w="404"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w:t>
            </w:r>
          </w:p>
        </w:tc>
        <w:tc>
          <w:tcPr>
            <w:tcW w:w="416"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w:t>
            </w:r>
          </w:p>
        </w:tc>
        <w:tc>
          <w:tcPr>
            <w:tcW w:w="404"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w:t>
            </w:r>
          </w:p>
        </w:tc>
        <w:tc>
          <w:tcPr>
            <w:tcW w:w="441" w:type="dxa"/>
            <w:tcBorders>
              <w:top w:val="single" w:color="auto" w:sz="4" w:space="0"/>
              <w:left w:val="nil"/>
              <w:bottom w:val="single" w:color="auto" w:sz="4" w:space="0"/>
              <w:right w:val="single" w:color="auto" w:sz="4" w:space="0"/>
            </w:tcBorders>
            <w:shd w:val="clear" w:color="auto" w:fill="DCD8C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w:t>
            </w:r>
          </w:p>
        </w:tc>
        <w:tc>
          <w:tcPr>
            <w:tcW w:w="419" w:type="dxa"/>
            <w:tcBorders>
              <w:top w:val="single" w:color="auto" w:sz="4" w:space="0"/>
              <w:left w:val="single" w:color="auto" w:sz="4" w:space="0"/>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w:t>
            </w:r>
          </w:p>
        </w:tc>
        <w:tc>
          <w:tcPr>
            <w:tcW w:w="407"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7.1</w:t>
            </w:r>
          </w:p>
        </w:tc>
        <w:tc>
          <w:tcPr>
            <w:tcW w:w="407"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w:t>
            </w:r>
          </w:p>
        </w:tc>
        <w:tc>
          <w:tcPr>
            <w:tcW w:w="404"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w:t>
            </w:r>
          </w:p>
        </w:tc>
        <w:tc>
          <w:tcPr>
            <w:tcW w:w="381" w:type="dxa"/>
            <w:tcBorders>
              <w:top w:val="single" w:color="auto" w:sz="4" w:space="0"/>
              <w:left w:val="nil"/>
              <w:bottom w:val="single" w:color="auto" w:sz="4" w:space="0"/>
              <w:right w:val="single" w:color="auto" w:sz="4" w:space="0"/>
            </w:tcBorders>
            <w:shd w:val="clear" w:color="auto" w:fill="DCD8C0"/>
            <w:vAlign w:val="center"/>
          </w:tcPr>
          <w:p>
            <w:pPr>
              <w:jc w:val="center"/>
              <w:rPr>
                <w:rFonts w:hint="default" w:ascii="Times New Roman" w:hAnsi="Times New Roman" w:eastAsia="宋体" w:cs="Times New Roman"/>
                <w:spacing w:val="-20"/>
                <w:sz w:val="18"/>
                <w:szCs w:val="18"/>
              </w:rPr>
            </w:pPr>
            <w:r>
              <w:rPr>
                <w:rFonts w:hint="default" w:ascii="Times New Roman" w:hAnsi="Times New Roman" w:eastAsia="宋体" w:cs="Times New Roman"/>
                <w:spacing w:val="-20"/>
                <w:sz w:val="18"/>
                <w:szCs w:val="18"/>
              </w:rPr>
              <w:t>8.2</w:t>
            </w:r>
          </w:p>
        </w:tc>
        <w:tc>
          <w:tcPr>
            <w:tcW w:w="479" w:type="dxa"/>
            <w:tcBorders>
              <w:top w:val="single" w:color="auto" w:sz="4" w:space="0"/>
              <w:left w:val="single" w:color="auto" w:sz="4" w:space="0"/>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w:t>
            </w:r>
          </w:p>
        </w:tc>
        <w:tc>
          <w:tcPr>
            <w:tcW w:w="404"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9.1</w:t>
            </w:r>
          </w:p>
        </w:tc>
        <w:tc>
          <w:tcPr>
            <w:tcW w:w="413"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9.2</w:t>
            </w:r>
          </w:p>
        </w:tc>
        <w:tc>
          <w:tcPr>
            <w:tcW w:w="404"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10.1</w:t>
            </w:r>
          </w:p>
        </w:tc>
        <w:tc>
          <w:tcPr>
            <w:tcW w:w="531" w:type="dxa"/>
            <w:tcBorders>
              <w:top w:val="single" w:color="auto" w:sz="4" w:space="0"/>
              <w:left w:val="nil"/>
              <w:bottom w:val="single" w:color="auto" w:sz="4" w:space="0"/>
              <w:right w:val="single" w:color="auto" w:sz="4" w:space="0"/>
            </w:tcBorders>
            <w:shd w:val="clear" w:color="auto" w:fill="DCD8C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w:t>
            </w:r>
          </w:p>
        </w:tc>
        <w:tc>
          <w:tcPr>
            <w:tcW w:w="474" w:type="dxa"/>
            <w:tcBorders>
              <w:top w:val="single" w:color="auto" w:sz="4" w:space="0"/>
              <w:left w:val="single" w:color="auto" w:sz="4" w:space="0"/>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w:t>
            </w:r>
          </w:p>
        </w:tc>
        <w:tc>
          <w:tcPr>
            <w:tcW w:w="404"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11.1</w:t>
            </w:r>
          </w:p>
        </w:tc>
        <w:tc>
          <w:tcPr>
            <w:tcW w:w="410"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11.2</w:t>
            </w:r>
          </w:p>
        </w:tc>
        <w:tc>
          <w:tcPr>
            <w:tcW w:w="404"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12.1</w:t>
            </w:r>
          </w:p>
        </w:tc>
        <w:tc>
          <w:tcPr>
            <w:tcW w:w="416" w:type="dxa"/>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12.2</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大学英语 I、Ⅱ、Ⅲ</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体育Ⅰ、Ⅱ、Ⅲ、Ⅳ</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军事理论</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思想道德与法治</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军事技能</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专业认知与职业前瞻教育</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经济数学</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形势与政策Ⅰ、Ⅱ、Ⅲ、Ⅳ</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毛泽东思想和中国特色社会主义理论体系概论</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rPr>
              <w:t>习近平新时代中国特色社会主义思想概论</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信息技术</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大学语文</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劳动教育Ⅰ、Ⅱ</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国家</w:t>
            </w:r>
            <w:r>
              <w:rPr>
                <w:rFonts w:hint="default" w:ascii="Times New Roman" w:hAnsi="Times New Roman" w:eastAsia="宋体" w:cs="Times New Roman"/>
                <w:sz w:val="18"/>
                <w:szCs w:val="18"/>
              </w:rPr>
              <w:t>安全教育</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color w:val="FF0000"/>
                <w:sz w:val="18"/>
                <w:szCs w:val="18"/>
              </w:rPr>
            </w:pPr>
            <w:r>
              <w:rPr>
                <w:rFonts w:hint="default" w:ascii="Times New Roman" w:hAnsi="Times New Roman" w:eastAsia="宋体" w:cs="Times New Roman"/>
                <w:sz w:val="18"/>
                <w:szCs w:val="18"/>
              </w:rPr>
              <w:t>心理健康教育</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职业发展与就业指导Ⅰ、Ⅱ</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人工智能概论</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大学生创新创业基础</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电子商务概论</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L</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货物学基础</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H</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物流管理基础</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经济法概论</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L</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L</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L</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管理学基础</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L</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L</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经济学基础</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基础会计</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仓储与配送管理</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运输管理</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采购与供应链管理</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物流成本管理</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生产与运作管理实务</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国际物流与货运代理</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L</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物流营销</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L</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L</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客户服务实务</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物流认识实习</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L</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L</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L</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L</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物流</w:t>
            </w:r>
            <w:r>
              <w:rPr>
                <w:rFonts w:hint="default" w:ascii="Times New Roman" w:hAnsi="Times New Roman" w:eastAsia="宋体" w:cs="Times New Roman"/>
                <w:sz w:val="18"/>
                <w:szCs w:val="18"/>
              </w:rPr>
              <w:t>专业综合实训</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物流管理</w:t>
            </w:r>
            <w:r>
              <w:rPr>
                <w:rFonts w:hint="default" w:ascii="Times New Roman" w:hAnsi="Times New Roman" w:eastAsia="宋体" w:cs="Times New Roman"/>
                <w:sz w:val="18"/>
                <w:szCs w:val="18"/>
              </w:rPr>
              <w:t>毕业</w:t>
            </w:r>
            <w:r>
              <w:rPr>
                <w:rFonts w:hint="default" w:ascii="Times New Roman" w:hAnsi="Times New Roman" w:eastAsia="宋体" w:cs="Times New Roman"/>
                <w:sz w:val="18"/>
                <w:szCs w:val="18"/>
                <w:lang w:eastAsia="zh-CN"/>
              </w:rPr>
              <w:t>设计</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r>
      <w:tr>
        <w:tblPrEx>
          <w:tblCellMar>
            <w:top w:w="0" w:type="dxa"/>
            <w:left w:w="108" w:type="dxa"/>
            <w:bottom w:w="0" w:type="dxa"/>
            <w:right w:w="108" w:type="dxa"/>
          </w:tblCellMar>
        </w:tblPrEx>
        <w:trPr>
          <w:trHeight w:val="23"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bidi w:val="0"/>
              <w:adjustRightInd/>
              <w:snapToGrid/>
              <w:ind w:left="0" w:right="-105" w:rightChars="-5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物流管理</w:t>
            </w:r>
            <w:r>
              <w:rPr>
                <w:rFonts w:hint="default" w:ascii="Times New Roman" w:hAnsi="Times New Roman" w:eastAsia="宋体" w:cs="Times New Roman"/>
                <w:sz w:val="18"/>
                <w:szCs w:val="18"/>
              </w:rPr>
              <w:t>岗位实习Ⅰ、Ⅱ</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4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38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13"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53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1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w:t>
            </w:r>
          </w:p>
        </w:tc>
        <w:tc>
          <w:tcPr>
            <w:tcW w:w="40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c>
          <w:tcPr>
            <w:tcW w:w="41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L</w:t>
            </w:r>
          </w:p>
        </w:tc>
      </w:tr>
    </w:tbl>
    <w:p>
      <w:pPr>
        <w:widowControl/>
        <w:spacing w:line="440" w:lineRule="exact"/>
        <w:ind w:firstLine="420"/>
        <w:rPr>
          <w:color w:val="000000"/>
          <w:sz w:val="24"/>
          <w:szCs w:val="24"/>
        </w:rPr>
      </w:pPr>
      <w:r>
        <w:rPr>
          <w:color w:val="000000"/>
          <w:sz w:val="24"/>
          <w:szCs w:val="24"/>
        </w:rPr>
        <w:t>注</w:t>
      </w:r>
      <w:r>
        <w:rPr>
          <w:rFonts w:hint="eastAsia"/>
          <w:color w:val="000000"/>
          <w:sz w:val="24"/>
          <w:szCs w:val="24"/>
        </w:rPr>
        <w:t>：1.表中教学环节根据课程对各项毕业要求指标点的支撑强度分别用H（高）、M（中）、L（弱）表示。</w:t>
      </w:r>
    </w:p>
    <w:p>
      <w:pPr>
        <w:widowControl/>
        <w:spacing w:line="440" w:lineRule="exact"/>
        <w:ind w:firstLine="420"/>
        <w:rPr>
          <w:color w:val="000000"/>
          <w:sz w:val="24"/>
          <w:szCs w:val="24"/>
        </w:rPr>
      </w:pPr>
      <w:r>
        <w:rPr>
          <w:rFonts w:hint="eastAsia"/>
          <w:color w:val="000000"/>
          <w:sz w:val="24"/>
          <w:szCs w:val="24"/>
        </w:rPr>
        <w:t xml:space="preserve">    2.取各毕业要求指标点中的最高支撑强度为课程对应毕业要求的支撑强度。</w:t>
      </w:r>
    </w:p>
    <w:p>
      <w:pPr>
        <w:snapToGrid w:val="0"/>
        <w:spacing w:line="560" w:lineRule="exact"/>
        <w:ind w:firstLine="420" w:firstLineChars="200"/>
        <w:outlineLvl w:val="9"/>
        <w:sectPr>
          <w:pgSz w:w="16840" w:h="11910" w:orient="landscape"/>
          <w:pgMar w:top="1803" w:right="1440" w:bottom="1803" w:left="1440" w:header="720" w:footer="720" w:gutter="0"/>
          <w:pgNumType w:fmt="decimal"/>
          <w:cols w:space="720" w:num="1"/>
        </w:sectPr>
      </w:pPr>
    </w:p>
    <w:p>
      <w:pPr>
        <w:pStyle w:val="3"/>
        <w:spacing w:before="42"/>
        <w:jc w:val="center"/>
        <w:outlineLvl w:val="0"/>
        <w:rPr>
          <w:b/>
          <w:bCs/>
        </w:rPr>
      </w:pPr>
      <w:bookmarkStart w:id="20" w:name="_Toc9662"/>
      <w:r>
        <w:rPr>
          <w:rFonts w:hint="eastAsia"/>
          <w:b/>
          <w:bCs/>
        </w:rPr>
        <w:t>附：表14：参与开发的主要人员</w:t>
      </w:r>
      <w:bookmarkEnd w:id="20"/>
    </w:p>
    <w:tbl>
      <w:tblPr>
        <w:tblStyle w:val="10"/>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3260"/>
        <w:gridCol w:w="2325"/>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89"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姓名</w:t>
            </w:r>
          </w:p>
        </w:tc>
        <w:tc>
          <w:tcPr>
            <w:tcW w:w="3260"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工作单位</w:t>
            </w:r>
          </w:p>
        </w:tc>
        <w:tc>
          <w:tcPr>
            <w:tcW w:w="2325"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职务、职称</w:t>
            </w:r>
          </w:p>
        </w:tc>
        <w:tc>
          <w:tcPr>
            <w:tcW w:w="2325"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承担的主要任务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89"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明微</w:t>
            </w:r>
          </w:p>
        </w:tc>
        <w:tc>
          <w:tcPr>
            <w:tcW w:w="3260"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江苏顺丰通讯服务有限公司</w:t>
            </w:r>
          </w:p>
        </w:tc>
        <w:tc>
          <w:tcPr>
            <w:tcW w:w="2325"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经理</w:t>
            </w:r>
          </w:p>
        </w:tc>
        <w:tc>
          <w:tcPr>
            <w:tcW w:w="2325"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专业建设专家指导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89"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徐业勤</w:t>
            </w:r>
          </w:p>
        </w:tc>
        <w:tc>
          <w:tcPr>
            <w:tcW w:w="3260"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南通林森物流集团有限公司</w:t>
            </w:r>
          </w:p>
        </w:tc>
        <w:tc>
          <w:tcPr>
            <w:tcW w:w="2325"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经理</w:t>
            </w:r>
          </w:p>
        </w:tc>
        <w:tc>
          <w:tcPr>
            <w:tcW w:w="2325"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专业建设专家指导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89"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孙铫</w:t>
            </w:r>
          </w:p>
        </w:tc>
        <w:tc>
          <w:tcPr>
            <w:tcW w:w="3260"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南通职业大学</w:t>
            </w:r>
          </w:p>
        </w:tc>
        <w:tc>
          <w:tcPr>
            <w:tcW w:w="2325"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专业负责人、讲师</w:t>
            </w:r>
          </w:p>
        </w:tc>
        <w:tc>
          <w:tcPr>
            <w:tcW w:w="2325"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人培方案编制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89"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王中林</w:t>
            </w:r>
          </w:p>
        </w:tc>
        <w:tc>
          <w:tcPr>
            <w:tcW w:w="3260"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南通职业大学</w:t>
            </w:r>
          </w:p>
        </w:tc>
        <w:tc>
          <w:tcPr>
            <w:tcW w:w="2325"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教研室主任、副教授</w:t>
            </w:r>
          </w:p>
        </w:tc>
        <w:tc>
          <w:tcPr>
            <w:tcW w:w="2325" w:type="dxa"/>
            <w:vAlign w:val="center"/>
          </w:tcPr>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eastAsia="zh-CN"/>
              </w:rPr>
            </w:pPr>
            <w:r>
              <w:rPr>
                <w:rFonts w:hint="eastAsia"/>
                <w:sz w:val="21"/>
                <w:szCs w:val="21"/>
                <w:lang w:eastAsia="zh-CN"/>
              </w:rPr>
              <w:t>人培方案编制</w:t>
            </w:r>
          </w:p>
        </w:tc>
      </w:tr>
    </w:tbl>
    <w:p>
      <w:pPr>
        <w:pStyle w:val="3"/>
        <w:spacing w:before="42"/>
      </w:pPr>
    </w:p>
    <w:p>
      <w:pPr>
        <w:pStyle w:val="3"/>
        <w:spacing w:before="4"/>
        <w:rPr>
          <w:b/>
          <w:sz w:val="6"/>
        </w:rPr>
      </w:pPr>
    </w:p>
    <w:p>
      <w:pPr>
        <w:spacing w:line="487" w:lineRule="auto"/>
        <w:rPr>
          <w:sz w:val="18"/>
        </w:rPr>
        <w:sectPr>
          <w:pgSz w:w="11910" w:h="16840"/>
          <w:pgMar w:top="1440" w:right="1417" w:bottom="1440" w:left="1417" w:header="720" w:footer="720" w:gutter="0"/>
          <w:pgNumType w:fmt="decimal"/>
          <w:cols w:space="720" w:num="1"/>
        </w:sectPr>
      </w:pPr>
    </w:p>
    <w:p>
      <w:pPr>
        <w:snapToGrid w:val="0"/>
        <w:spacing w:line="560" w:lineRule="exact"/>
        <w:ind w:firstLine="602" w:firstLineChars="200"/>
        <w:outlineLvl w:val="0"/>
        <w:rPr>
          <w:rFonts w:ascii="宋体" w:hAnsi="宋体"/>
          <w:b/>
          <w:sz w:val="30"/>
          <w:szCs w:val="30"/>
        </w:rPr>
      </w:pPr>
      <w:bookmarkStart w:id="21" w:name="_Toc10070"/>
      <w:r>
        <w:rPr>
          <w:rFonts w:hint="eastAsia" w:ascii="宋体" w:hAnsi="宋体"/>
          <w:b/>
          <w:sz w:val="30"/>
          <w:szCs w:val="30"/>
        </w:rPr>
        <w:t>十</w:t>
      </w:r>
      <w:r>
        <w:rPr>
          <w:rFonts w:hint="eastAsia" w:ascii="宋体" w:hAnsi="宋体"/>
          <w:b/>
          <w:sz w:val="30"/>
          <w:szCs w:val="30"/>
          <w:lang w:eastAsia="zh-CN"/>
        </w:rPr>
        <w:t>二</w:t>
      </w:r>
      <w:r>
        <w:rPr>
          <w:rFonts w:ascii="宋体" w:hAnsi="宋体"/>
          <w:b/>
          <w:sz w:val="30"/>
          <w:szCs w:val="30"/>
        </w:rPr>
        <w:t>、附录</w:t>
      </w:r>
      <w:bookmarkEnd w:id="21"/>
    </w:p>
    <w:p>
      <w:pPr>
        <w:spacing w:before="214"/>
        <w:rPr>
          <w:sz w:val="32"/>
        </w:rPr>
      </w:pPr>
      <w:r>
        <w:rPr>
          <w:sz w:val="32"/>
        </w:rPr>
        <w:t xml:space="preserve">附录 </w:t>
      </w:r>
      <w:r>
        <w:rPr>
          <w:rFonts w:ascii="Calibri" w:eastAsia="Calibri"/>
          <w:sz w:val="32"/>
        </w:rPr>
        <w:t>1</w:t>
      </w:r>
      <w:r>
        <w:rPr>
          <w:sz w:val="32"/>
        </w:rPr>
        <w:t>：专业教学进程安排表</w:t>
      </w:r>
    </w:p>
    <w:p>
      <w:pPr>
        <w:widowControl/>
        <w:spacing w:line="540" w:lineRule="exact"/>
        <w:jc w:val="center"/>
        <w:rPr>
          <w:rFonts w:hint="eastAsia" w:ascii="微软雅黑" w:hAnsi="微软雅黑" w:eastAsia="微软雅黑"/>
          <w:color w:val="000000"/>
          <w:sz w:val="32"/>
          <w:szCs w:val="32"/>
        </w:rPr>
      </w:pPr>
      <w:bookmarkStart w:id="22" w:name="_Toc32663"/>
      <w:r>
        <w:rPr>
          <w:rFonts w:hint="eastAsia" w:ascii="微软雅黑" w:hAnsi="微软雅黑" w:eastAsia="微软雅黑"/>
          <w:color w:val="000000"/>
          <w:sz w:val="32"/>
          <w:szCs w:val="32"/>
        </w:rPr>
        <mc:AlternateContent>
          <mc:Choice Requires="wpg">
            <w:drawing>
              <wp:anchor distT="0" distB="0" distL="114300" distR="114300" simplePos="0" relativeHeight="251660288" behindDoc="1" locked="0" layoutInCell="1" allowOverlap="1">
                <wp:simplePos x="0" y="0"/>
                <wp:positionH relativeFrom="page">
                  <wp:posOffset>751205</wp:posOffset>
                </wp:positionH>
                <wp:positionV relativeFrom="paragraph">
                  <wp:posOffset>477520</wp:posOffset>
                </wp:positionV>
                <wp:extent cx="1065530" cy="585470"/>
                <wp:effectExtent l="0" t="0" r="0" b="0"/>
                <wp:wrapNone/>
                <wp:docPr id="1" name="组合 1"/>
                <wp:cNvGraphicFramePr/>
                <a:graphic xmlns:a="http://schemas.openxmlformats.org/drawingml/2006/main">
                  <a:graphicData uri="http://schemas.microsoft.com/office/word/2010/wordprocessingGroup">
                    <wpg:wgp>
                      <wpg:cNvGrpSpPr/>
                      <wpg:grpSpPr>
                        <a:xfrm>
                          <a:off x="0" y="0"/>
                          <a:ext cx="1065530" cy="585470"/>
                          <a:chOff x="1183" y="753"/>
                          <a:chExt cx="1678" cy="922203"/>
                        </a:xfrm>
                        <a:effectLst/>
                      </wpg:grpSpPr>
                      <wps:wsp>
                        <wps:cNvPr id="5" name="矩形 7"/>
                        <wps:cNvSpPr/>
                        <wps:spPr>
                          <a:xfrm>
                            <a:off x="1188" y="757"/>
                            <a:ext cx="1668" cy="912"/>
                          </a:xfrm>
                          <a:prstGeom prst="rect">
                            <a:avLst/>
                          </a:prstGeom>
                          <a:solidFill>
                            <a:srgbClr val="C5D9F0"/>
                          </a:solidFill>
                          <a:ln>
                            <a:noFill/>
                          </a:ln>
                          <a:effectLst/>
                        </wps:spPr>
                        <wps:bodyPr upright="1"/>
                      </wps:wsp>
                      <wps:wsp>
                        <wps:cNvPr id="6" name="直线 8"/>
                        <wps:cNvCnPr/>
                        <wps:spPr>
                          <a:xfrm>
                            <a:off x="1188" y="758"/>
                            <a:ext cx="1668" cy="912"/>
                          </a:xfrm>
                          <a:prstGeom prst="line">
                            <a:avLst/>
                          </a:prstGeom>
                          <a:ln w="6350"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9.15pt;margin-top:37.6pt;height:46.1pt;width:83.9pt;mso-position-horizontal-relative:page;z-index:-251656192;mso-width-relative:page;mso-height-relative:page;" coordorigin="1183,753" coordsize="1678,922203" o:gfxdata="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WAAAAZHJzL1BLAQIUABQAAAAIAIdO4kDpYO1v2QAA&#10;AAoBAAAPAAAAAAAAAAEAIAAAADgAAABkcnMvZG93bnJldi54bWxQSwECFAAUAAAACACHTuJAO8cf&#10;abICAAC6BgAADgAAAAAAAAABACAAAAA+AQAAZHJzL2Uyb0RvYy54bWxQSwUGAAAAAAYABgBZAQAA&#10;YgYAAAAA&#10;">
                <o:lock v:ext="edit" aspectratio="f"/>
                <v:rect id="矩形 7" o:spid="_x0000_s1026" o:spt="1" style="position:absolute;left:1188;top:757;height:912;width:1668;" fillcolor="#C5D9F0" filled="t" stroked="f" coordsize="21600,21600" o:gfxdata="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V13DlvAAAANoAAAAPAAAAAAAAAAEAIAAAADgAAABkcnMvZG93bnJldi54&#10;bWxQSwECFAAUAAAACACHTuJAMy8FnjsAAAA5AAAAEAAAAAAAAAABACAAAAAhAQAAZHJzL3NoYXBl&#10;eG1sLnhtbFBLBQYAAAAABgAGAFsBAADLAwAAAAA=&#10;">
                  <v:fill on="t" focussize="0,0"/>
                  <v:stroke on="f"/>
                  <v:imagedata o:title=""/>
                  <o:lock v:ext="edit" aspectratio="f"/>
                </v:rect>
                <v:line id="直线 8" o:spid="_x0000_s1026" o:spt="20" style="position:absolute;left:1188;top:758;height:912;width:1668;" filled="f" stroked="t" coordsize="21600,21600" o:gfxdata="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VO6QCboAAADaAAAADwAAAAAAAAABACAAAAA4AAAAZHJzL2Rvd25yZXYueG1s&#10;UEsBAhQAFAAAAAgAh07iQDMvBZ47AAAAOQAAABAAAAAAAAAAAQAgAAAAHwEAAGRycy9zaGFwZXht&#10;bC54bWxQSwUGAAAAAAYABgBbAQAAyQMAAAAA&#10;">
                  <v:fill on="f" focussize="0,0"/>
                  <v:stroke weight="0.5pt" color="#000000" joinstyle="round"/>
                  <v:imagedata o:title=""/>
                  <o:lock v:ext="edit" aspectratio="f"/>
                </v:line>
              </v:group>
            </w:pict>
          </mc:Fallback>
        </mc:AlternateContent>
      </w:r>
      <w:r>
        <w:rPr>
          <w:rFonts w:hint="eastAsia" w:ascii="微软雅黑" w:hAnsi="微软雅黑" w:eastAsia="微软雅黑"/>
          <w:color w:val="000000"/>
          <w:sz w:val="32"/>
          <w:szCs w:val="32"/>
        </w:rPr>
        <w:t>南通职业大学</w:t>
      </w:r>
      <w:r>
        <w:rPr>
          <w:rFonts w:hint="eastAsia" w:ascii="微软雅黑" w:hAnsi="微软雅黑" w:eastAsia="微软雅黑"/>
          <w:color w:val="000000"/>
          <w:sz w:val="32"/>
          <w:szCs w:val="32"/>
          <w:lang w:eastAsia="zh-CN"/>
        </w:rPr>
        <w:t>现代物流管理</w:t>
      </w:r>
      <w:r>
        <w:rPr>
          <w:rFonts w:hint="eastAsia" w:ascii="微软雅黑" w:hAnsi="微软雅黑" w:eastAsia="微软雅黑"/>
          <w:color w:val="000000"/>
          <w:sz w:val="32"/>
          <w:szCs w:val="32"/>
        </w:rPr>
        <w:t>专业教学进程安排表</w:t>
      </w:r>
      <w:bookmarkEnd w:id="22"/>
    </w:p>
    <w:p>
      <w:pPr>
        <w:pStyle w:val="3"/>
        <w:spacing w:before="3"/>
        <w:rPr>
          <w:b/>
          <w:sz w:val="8"/>
        </w:rPr>
      </w:pPr>
    </w:p>
    <w:tbl>
      <w:tblPr>
        <w:tblStyle w:val="10"/>
        <w:tblW w:w="14488" w:type="dxa"/>
        <w:tblInd w:w="13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88"/>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5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6" w:hRule="atLeast"/>
        </w:trPr>
        <w:tc>
          <w:tcPr>
            <w:tcW w:w="1688" w:type="dxa"/>
            <w:tcBorders>
              <w:right w:val="single" w:color="000000" w:sz="8" w:space="0"/>
            </w:tcBorders>
            <w:shd w:val="clear" w:color="auto" w:fill="auto"/>
            <w:vAlign w:val="top"/>
          </w:tcPr>
          <w:p>
            <w:pPr>
              <w:pStyle w:val="20"/>
              <w:spacing w:before="169"/>
              <w:ind w:left="98"/>
              <w:rPr>
                <w:b/>
                <w:sz w:val="21"/>
              </w:rPr>
            </w:pPr>
            <w:r>
              <w:rPr>
                <w:b/>
                <w:sz w:val="21"/>
              </w:rPr>
              <w:t>周次</w:t>
            </w:r>
          </w:p>
          <w:p>
            <w:pPr>
              <w:pStyle w:val="20"/>
              <w:spacing w:before="43"/>
              <w:ind w:left="98"/>
              <w:rPr>
                <w:b/>
                <w:sz w:val="21"/>
              </w:rPr>
            </w:pPr>
            <w:r>
              <w:rPr>
                <w:b/>
                <w:sz w:val="21"/>
              </w:rPr>
              <w:t>开课学期</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8"/>
              <w:jc w:val="center"/>
              <w:rPr>
                <w:rFonts w:ascii="Calibri"/>
                <w:b/>
                <w:sz w:val="21"/>
              </w:rPr>
            </w:pPr>
            <w:r>
              <w:rPr>
                <w:rFonts w:ascii="Calibri"/>
                <w:b/>
                <w:w w:val="99"/>
                <w:sz w:val="21"/>
              </w:rPr>
              <w:t>1</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7"/>
              <w:jc w:val="center"/>
              <w:rPr>
                <w:rFonts w:ascii="Calibri"/>
                <w:b/>
                <w:sz w:val="21"/>
              </w:rPr>
            </w:pPr>
            <w:r>
              <w:rPr>
                <w:rFonts w:ascii="Calibri"/>
                <w:b/>
                <w:w w:val="99"/>
                <w:sz w:val="21"/>
              </w:rPr>
              <w:t>2</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6"/>
              <w:jc w:val="center"/>
              <w:rPr>
                <w:rFonts w:ascii="Calibri"/>
                <w:b/>
                <w:sz w:val="21"/>
              </w:rPr>
            </w:pPr>
            <w:r>
              <w:rPr>
                <w:rFonts w:ascii="Calibri"/>
                <w:b/>
                <w:w w:val="99"/>
                <w:sz w:val="21"/>
              </w:rPr>
              <w:t>3</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5"/>
              <w:jc w:val="center"/>
              <w:rPr>
                <w:rFonts w:ascii="Calibri"/>
                <w:b/>
                <w:sz w:val="21"/>
              </w:rPr>
            </w:pPr>
            <w:r>
              <w:rPr>
                <w:rFonts w:ascii="Calibri"/>
                <w:b/>
                <w:w w:val="99"/>
                <w:sz w:val="21"/>
              </w:rPr>
              <w:t>4</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8"/>
              <w:jc w:val="center"/>
              <w:rPr>
                <w:rFonts w:ascii="Calibri"/>
                <w:b/>
                <w:sz w:val="21"/>
              </w:rPr>
            </w:pPr>
            <w:r>
              <w:rPr>
                <w:rFonts w:ascii="Calibri"/>
                <w:b/>
                <w:w w:val="99"/>
                <w:sz w:val="21"/>
              </w:rPr>
              <w:t>5</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7"/>
              <w:jc w:val="center"/>
              <w:rPr>
                <w:rFonts w:ascii="Calibri"/>
                <w:b/>
                <w:sz w:val="21"/>
              </w:rPr>
            </w:pPr>
            <w:r>
              <w:rPr>
                <w:rFonts w:ascii="Calibri"/>
                <w:b/>
                <w:w w:val="99"/>
                <w:sz w:val="21"/>
              </w:rPr>
              <w:t>6</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6"/>
              <w:jc w:val="center"/>
              <w:rPr>
                <w:rFonts w:ascii="Calibri"/>
                <w:b/>
                <w:sz w:val="21"/>
              </w:rPr>
            </w:pPr>
            <w:r>
              <w:rPr>
                <w:rFonts w:ascii="Calibri"/>
                <w:b/>
                <w:w w:val="99"/>
                <w:sz w:val="21"/>
              </w:rPr>
              <w:t>7</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5"/>
              <w:jc w:val="center"/>
              <w:rPr>
                <w:rFonts w:ascii="Calibri"/>
                <w:b/>
                <w:sz w:val="21"/>
              </w:rPr>
            </w:pPr>
            <w:r>
              <w:rPr>
                <w:rFonts w:ascii="Calibri"/>
                <w:b/>
                <w:w w:val="99"/>
                <w:sz w:val="21"/>
              </w:rPr>
              <w:t>8</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8"/>
              <w:jc w:val="center"/>
              <w:rPr>
                <w:rFonts w:ascii="Calibri"/>
                <w:b/>
                <w:sz w:val="21"/>
              </w:rPr>
            </w:pPr>
            <w:r>
              <w:rPr>
                <w:rFonts w:ascii="Calibri"/>
                <w:b/>
                <w:w w:val="99"/>
                <w:sz w:val="21"/>
              </w:rPr>
              <w:t>9</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17"/>
              <w:rPr>
                <w:rFonts w:ascii="Calibri"/>
                <w:b/>
                <w:sz w:val="21"/>
              </w:rPr>
            </w:pPr>
            <w:r>
              <w:rPr>
                <w:rFonts w:ascii="Calibri"/>
                <w:b/>
                <w:sz w:val="21"/>
              </w:rPr>
              <w:t>10</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17"/>
              <w:rPr>
                <w:rFonts w:ascii="Calibri"/>
                <w:b/>
                <w:sz w:val="21"/>
              </w:rPr>
            </w:pPr>
            <w:r>
              <w:rPr>
                <w:rFonts w:ascii="Calibri"/>
                <w:b/>
                <w:sz w:val="21"/>
              </w:rPr>
              <w:t>11</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16"/>
              <w:rPr>
                <w:rFonts w:ascii="Calibri"/>
                <w:b/>
                <w:sz w:val="21"/>
              </w:rPr>
            </w:pPr>
            <w:r>
              <w:rPr>
                <w:rFonts w:ascii="Calibri"/>
                <w:b/>
                <w:sz w:val="21"/>
              </w:rPr>
              <w:t>12</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18"/>
              <w:rPr>
                <w:rFonts w:ascii="Calibri"/>
                <w:b/>
                <w:sz w:val="21"/>
              </w:rPr>
            </w:pPr>
            <w:r>
              <w:rPr>
                <w:rFonts w:ascii="Calibri"/>
                <w:b/>
                <w:sz w:val="21"/>
              </w:rPr>
              <w:t>13</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17"/>
              <w:rPr>
                <w:rFonts w:ascii="Calibri"/>
                <w:b/>
                <w:sz w:val="21"/>
              </w:rPr>
            </w:pPr>
            <w:r>
              <w:rPr>
                <w:rFonts w:ascii="Calibri"/>
                <w:b/>
                <w:sz w:val="21"/>
              </w:rPr>
              <w:t>14</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17"/>
              <w:rPr>
                <w:rFonts w:ascii="Calibri"/>
                <w:b/>
                <w:sz w:val="21"/>
              </w:rPr>
            </w:pPr>
            <w:r>
              <w:rPr>
                <w:rFonts w:ascii="Calibri"/>
                <w:b/>
                <w:sz w:val="21"/>
              </w:rPr>
              <w:t>15</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16"/>
              <w:rPr>
                <w:rFonts w:ascii="Calibri"/>
                <w:b/>
                <w:sz w:val="21"/>
              </w:rPr>
            </w:pPr>
            <w:r>
              <w:rPr>
                <w:rFonts w:ascii="Calibri"/>
                <w:b/>
                <w:sz w:val="21"/>
              </w:rPr>
              <w:t>16</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18"/>
              <w:rPr>
                <w:rFonts w:ascii="Calibri"/>
                <w:b/>
                <w:sz w:val="21"/>
              </w:rPr>
            </w:pPr>
            <w:r>
              <w:rPr>
                <w:rFonts w:ascii="Calibri"/>
                <w:b/>
                <w:sz w:val="21"/>
              </w:rPr>
              <w:t>17</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17"/>
              <w:rPr>
                <w:rFonts w:ascii="Calibri"/>
                <w:b/>
                <w:sz w:val="21"/>
              </w:rPr>
            </w:pPr>
            <w:r>
              <w:rPr>
                <w:rFonts w:ascii="Calibri"/>
                <w:b/>
                <w:sz w:val="21"/>
              </w:rPr>
              <w:t>18</w:t>
            </w:r>
          </w:p>
        </w:tc>
        <w:tc>
          <w:tcPr>
            <w:tcW w:w="639" w:type="dxa"/>
            <w:tcBorders>
              <w:left w:val="single" w:color="000000" w:sz="8" w:space="0"/>
              <w:right w:val="single" w:color="000000" w:sz="8" w:space="0"/>
            </w:tcBorders>
            <w:shd w:val="clear" w:color="auto" w:fill="C5D9F0"/>
            <w:vAlign w:val="top"/>
          </w:tcPr>
          <w:p>
            <w:pPr>
              <w:pStyle w:val="20"/>
              <w:rPr>
                <w:b/>
                <w:sz w:val="26"/>
              </w:rPr>
            </w:pPr>
          </w:p>
          <w:p>
            <w:pPr>
              <w:pStyle w:val="20"/>
              <w:ind w:left="216"/>
              <w:rPr>
                <w:rFonts w:ascii="Calibri"/>
                <w:b/>
                <w:sz w:val="21"/>
              </w:rPr>
            </w:pPr>
            <w:r>
              <w:rPr>
                <w:rFonts w:ascii="Calibri"/>
                <w:b/>
                <w:sz w:val="21"/>
              </w:rPr>
              <w:t>19</w:t>
            </w:r>
          </w:p>
        </w:tc>
        <w:tc>
          <w:tcPr>
            <w:tcW w:w="659" w:type="dxa"/>
            <w:tcBorders>
              <w:left w:val="single" w:color="000000" w:sz="8" w:space="0"/>
            </w:tcBorders>
            <w:shd w:val="clear" w:color="auto" w:fill="C5D9F0"/>
            <w:vAlign w:val="top"/>
          </w:tcPr>
          <w:p>
            <w:pPr>
              <w:pStyle w:val="20"/>
              <w:rPr>
                <w:b/>
                <w:sz w:val="26"/>
              </w:rPr>
            </w:pPr>
          </w:p>
          <w:p>
            <w:pPr>
              <w:pStyle w:val="20"/>
              <w:ind w:left="228"/>
              <w:rPr>
                <w:rFonts w:ascii="Calibri"/>
                <w:b/>
                <w:sz w:val="21"/>
              </w:rPr>
            </w:pPr>
            <w:r>
              <w:rPr>
                <w:rFonts w:ascii="Calibri"/>
                <w:b/>
                <w:sz w:val="21"/>
              </w:rPr>
              <w:t>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bottom w:val="single" w:color="000000" w:sz="8" w:space="0"/>
              <w:right w:val="single" w:color="000000" w:sz="8" w:space="0"/>
            </w:tcBorders>
            <w:vAlign w:val="top"/>
          </w:tcPr>
          <w:p>
            <w:pPr>
              <w:pStyle w:val="20"/>
              <w:spacing w:before="125"/>
              <w:ind w:left="20"/>
              <w:jc w:val="center"/>
              <w:rPr>
                <w:b/>
                <w:sz w:val="21"/>
              </w:rPr>
            </w:pPr>
            <w:r>
              <w:rPr>
                <w:b/>
                <w:w w:val="99"/>
                <w:sz w:val="21"/>
              </w:rPr>
              <w:t>一</w:t>
            </w:r>
          </w:p>
        </w:tc>
        <w:tc>
          <w:tcPr>
            <w:tcW w:w="639" w:type="dxa"/>
            <w:tcBorders>
              <w:left w:val="single" w:color="000000" w:sz="8" w:space="0"/>
              <w:bottom w:val="single" w:color="000000" w:sz="8" w:space="0"/>
              <w:right w:val="single" w:color="000000" w:sz="8" w:space="0"/>
            </w:tcBorders>
            <w:vAlign w:val="top"/>
          </w:tcPr>
          <w:p>
            <w:pPr>
              <w:pStyle w:val="20"/>
              <w:rPr>
                <w:rFonts w:ascii="Times New Roman"/>
                <w:sz w:val="20"/>
              </w:rPr>
            </w:pPr>
          </w:p>
        </w:tc>
        <w:tc>
          <w:tcPr>
            <w:tcW w:w="639" w:type="dxa"/>
            <w:tcBorders>
              <w:left w:val="single" w:color="000000" w:sz="8" w:space="0"/>
              <w:bottom w:val="single" w:color="000000" w:sz="8" w:space="0"/>
              <w:right w:val="single" w:color="000000" w:sz="8" w:space="0"/>
            </w:tcBorders>
            <w:vAlign w:val="top"/>
          </w:tcPr>
          <w:p>
            <w:pPr>
              <w:pStyle w:val="20"/>
              <w:spacing w:before="145"/>
              <w:ind w:left="102"/>
              <w:rPr>
                <w:b/>
                <w:sz w:val="18"/>
              </w:rPr>
            </w:pPr>
            <w:r>
              <w:rPr>
                <w:b/>
                <w:w w:val="99"/>
                <w:sz w:val="18"/>
              </w:rPr>
              <w:t>○</w:t>
            </w:r>
          </w:p>
        </w:tc>
        <w:tc>
          <w:tcPr>
            <w:tcW w:w="639" w:type="dxa"/>
            <w:tcBorders>
              <w:left w:val="single" w:color="000000" w:sz="8" w:space="0"/>
              <w:bottom w:val="single" w:color="000000" w:sz="8" w:space="0"/>
              <w:right w:val="single" w:color="000000" w:sz="8" w:space="0"/>
            </w:tcBorders>
            <w:vAlign w:val="top"/>
          </w:tcPr>
          <w:p>
            <w:pPr>
              <w:pStyle w:val="20"/>
              <w:spacing w:before="145"/>
              <w:ind w:left="104"/>
              <w:rPr>
                <w:b/>
                <w:sz w:val="18"/>
              </w:rPr>
            </w:pPr>
            <w:r>
              <w:rPr>
                <w:b/>
                <w:w w:val="99"/>
                <w:sz w:val="18"/>
              </w:rPr>
              <w:t>○</w:t>
            </w:r>
          </w:p>
        </w:tc>
        <w:tc>
          <w:tcPr>
            <w:tcW w:w="639" w:type="dxa"/>
            <w:tcBorders>
              <w:left w:val="single" w:color="000000" w:sz="8" w:space="0"/>
              <w:bottom w:val="single" w:color="000000" w:sz="8" w:space="0"/>
              <w:right w:val="single" w:color="000000" w:sz="8" w:space="0"/>
            </w:tcBorders>
            <w:vAlign w:val="top"/>
          </w:tcPr>
          <w:p>
            <w:pPr>
              <w:pStyle w:val="20"/>
              <w:spacing w:before="145"/>
              <w:ind w:left="103"/>
              <w:rPr>
                <w:b/>
                <w:sz w:val="18"/>
              </w:rPr>
            </w:pPr>
            <w:r>
              <w:rPr>
                <w:b/>
                <w:w w:val="99"/>
                <w:sz w:val="18"/>
              </w:rPr>
              <w:t>▲</w:t>
            </w:r>
          </w:p>
        </w:tc>
        <w:tc>
          <w:tcPr>
            <w:tcW w:w="639" w:type="dxa"/>
            <w:tcBorders>
              <w:left w:val="single" w:color="000000" w:sz="8" w:space="0"/>
              <w:bottom w:val="single" w:color="000000" w:sz="8" w:space="0"/>
              <w:right w:val="single" w:color="000000" w:sz="8" w:space="0"/>
            </w:tcBorders>
            <w:vAlign w:val="top"/>
          </w:tcPr>
          <w:p>
            <w:pPr>
              <w:pStyle w:val="20"/>
              <w:spacing w:before="145"/>
              <w:ind w:left="103"/>
              <w:rPr>
                <w:b/>
                <w:sz w:val="18"/>
              </w:rPr>
            </w:pPr>
            <w:r>
              <w:rPr>
                <w:b/>
                <w:w w:val="99"/>
                <w:sz w:val="18"/>
              </w:rPr>
              <w:t>▲</w:t>
            </w:r>
          </w:p>
        </w:tc>
        <w:tc>
          <w:tcPr>
            <w:tcW w:w="639" w:type="dxa"/>
            <w:tcBorders>
              <w:left w:val="single" w:color="000000" w:sz="8" w:space="0"/>
              <w:bottom w:val="single" w:color="000000" w:sz="8" w:space="0"/>
              <w:right w:val="single" w:color="000000" w:sz="8" w:space="0"/>
            </w:tcBorders>
            <w:vAlign w:val="top"/>
          </w:tcPr>
          <w:p>
            <w:pPr>
              <w:pStyle w:val="20"/>
              <w:spacing w:before="145"/>
              <w:ind w:left="102"/>
              <w:rPr>
                <w:b/>
                <w:sz w:val="18"/>
              </w:rPr>
            </w:pPr>
            <w:r>
              <w:rPr>
                <w:b/>
                <w:w w:val="99"/>
                <w:sz w:val="18"/>
              </w:rPr>
              <w:t>▲</w:t>
            </w:r>
          </w:p>
        </w:tc>
        <w:tc>
          <w:tcPr>
            <w:tcW w:w="639" w:type="dxa"/>
            <w:tcBorders>
              <w:left w:val="single" w:color="000000" w:sz="8" w:space="0"/>
              <w:bottom w:val="single" w:color="000000" w:sz="8" w:space="0"/>
              <w:right w:val="single" w:color="000000" w:sz="8" w:space="0"/>
            </w:tcBorders>
            <w:vAlign w:val="top"/>
          </w:tcPr>
          <w:p>
            <w:pPr>
              <w:pStyle w:val="20"/>
              <w:spacing w:before="145"/>
              <w:ind w:left="104"/>
              <w:rPr>
                <w:b/>
                <w:sz w:val="18"/>
              </w:rPr>
            </w:pPr>
            <w:r>
              <w:rPr>
                <w:b/>
                <w:w w:val="99"/>
                <w:sz w:val="18"/>
              </w:rPr>
              <w:t>▲</w:t>
            </w:r>
          </w:p>
        </w:tc>
        <w:tc>
          <w:tcPr>
            <w:tcW w:w="639" w:type="dxa"/>
            <w:tcBorders>
              <w:left w:val="single" w:color="000000" w:sz="8" w:space="0"/>
              <w:bottom w:val="single" w:color="000000" w:sz="8" w:space="0"/>
              <w:right w:val="single" w:color="000000" w:sz="8" w:space="0"/>
            </w:tcBorders>
            <w:vAlign w:val="top"/>
          </w:tcPr>
          <w:p>
            <w:pPr>
              <w:pStyle w:val="20"/>
              <w:spacing w:before="145"/>
              <w:ind w:left="103"/>
              <w:rPr>
                <w:b/>
                <w:sz w:val="18"/>
              </w:rPr>
            </w:pPr>
            <w:r>
              <w:rPr>
                <w:b/>
                <w:w w:val="99"/>
                <w:sz w:val="18"/>
              </w:rPr>
              <w:t>▲</w:t>
            </w:r>
          </w:p>
        </w:tc>
        <w:tc>
          <w:tcPr>
            <w:tcW w:w="639" w:type="dxa"/>
            <w:tcBorders>
              <w:left w:val="single" w:color="000000" w:sz="8" w:space="0"/>
              <w:bottom w:val="single" w:color="000000" w:sz="8" w:space="0"/>
              <w:right w:val="single" w:color="000000" w:sz="8" w:space="0"/>
            </w:tcBorders>
            <w:vAlign w:val="top"/>
          </w:tcPr>
          <w:p>
            <w:pPr>
              <w:pStyle w:val="20"/>
              <w:spacing w:before="145"/>
              <w:ind w:left="103"/>
              <w:rPr>
                <w:b/>
                <w:sz w:val="18"/>
              </w:rPr>
            </w:pPr>
            <w:r>
              <w:rPr>
                <w:b/>
                <w:w w:val="99"/>
                <w:sz w:val="18"/>
              </w:rPr>
              <w:t>▲</w:t>
            </w:r>
          </w:p>
        </w:tc>
        <w:tc>
          <w:tcPr>
            <w:tcW w:w="639" w:type="dxa"/>
            <w:tcBorders>
              <w:left w:val="single" w:color="000000" w:sz="8" w:space="0"/>
              <w:bottom w:val="single" w:color="000000" w:sz="8" w:space="0"/>
              <w:right w:val="single" w:color="000000" w:sz="8" w:space="0"/>
            </w:tcBorders>
            <w:vAlign w:val="top"/>
          </w:tcPr>
          <w:p>
            <w:pPr>
              <w:pStyle w:val="20"/>
              <w:spacing w:before="145"/>
              <w:ind w:left="102"/>
              <w:rPr>
                <w:b/>
                <w:sz w:val="18"/>
              </w:rPr>
            </w:pPr>
            <w:r>
              <w:rPr>
                <w:b/>
                <w:w w:val="99"/>
                <w:sz w:val="18"/>
              </w:rPr>
              <w:t>▲</w:t>
            </w:r>
          </w:p>
        </w:tc>
        <w:tc>
          <w:tcPr>
            <w:tcW w:w="639" w:type="dxa"/>
            <w:tcBorders>
              <w:left w:val="single" w:color="000000" w:sz="8" w:space="0"/>
              <w:bottom w:val="single" w:color="000000" w:sz="8" w:space="0"/>
              <w:right w:val="single" w:color="000000" w:sz="8" w:space="0"/>
            </w:tcBorders>
            <w:vAlign w:val="top"/>
          </w:tcPr>
          <w:p>
            <w:pPr>
              <w:pStyle w:val="20"/>
              <w:spacing w:before="145"/>
              <w:ind w:left="104"/>
              <w:rPr>
                <w:b/>
                <w:sz w:val="18"/>
              </w:rPr>
            </w:pPr>
            <w:r>
              <w:rPr>
                <w:b/>
                <w:w w:val="99"/>
                <w:sz w:val="18"/>
              </w:rPr>
              <w:t>▲</w:t>
            </w:r>
          </w:p>
        </w:tc>
        <w:tc>
          <w:tcPr>
            <w:tcW w:w="639" w:type="dxa"/>
            <w:tcBorders>
              <w:left w:val="single" w:color="000000" w:sz="8" w:space="0"/>
              <w:bottom w:val="single" w:color="000000" w:sz="8" w:space="0"/>
              <w:right w:val="single" w:color="000000" w:sz="8" w:space="0"/>
            </w:tcBorders>
            <w:vAlign w:val="top"/>
          </w:tcPr>
          <w:p>
            <w:pPr>
              <w:pStyle w:val="20"/>
              <w:spacing w:before="145"/>
              <w:ind w:left="103"/>
              <w:rPr>
                <w:b/>
                <w:sz w:val="18"/>
              </w:rPr>
            </w:pPr>
            <w:r>
              <w:rPr>
                <w:b/>
                <w:w w:val="99"/>
                <w:sz w:val="18"/>
              </w:rPr>
              <w:t>▲</w:t>
            </w:r>
          </w:p>
        </w:tc>
        <w:tc>
          <w:tcPr>
            <w:tcW w:w="639" w:type="dxa"/>
            <w:tcBorders>
              <w:left w:val="single" w:color="000000" w:sz="8" w:space="0"/>
              <w:bottom w:val="single" w:color="000000" w:sz="8" w:space="0"/>
              <w:right w:val="single" w:color="000000" w:sz="8" w:space="0"/>
            </w:tcBorders>
            <w:vAlign w:val="top"/>
          </w:tcPr>
          <w:p>
            <w:pPr>
              <w:pStyle w:val="20"/>
              <w:spacing w:before="145"/>
              <w:ind w:left="103"/>
              <w:rPr>
                <w:b/>
                <w:sz w:val="18"/>
              </w:rPr>
            </w:pPr>
            <w:r>
              <w:rPr>
                <w:b/>
                <w:w w:val="99"/>
                <w:sz w:val="18"/>
              </w:rPr>
              <w:t>▲</w:t>
            </w:r>
          </w:p>
        </w:tc>
        <w:tc>
          <w:tcPr>
            <w:tcW w:w="639" w:type="dxa"/>
            <w:tcBorders>
              <w:left w:val="single" w:color="000000" w:sz="8" w:space="0"/>
              <w:bottom w:val="single" w:color="000000" w:sz="8" w:space="0"/>
              <w:right w:val="single" w:color="000000" w:sz="8" w:space="0"/>
            </w:tcBorders>
            <w:vAlign w:val="top"/>
          </w:tcPr>
          <w:p>
            <w:pPr>
              <w:pStyle w:val="20"/>
              <w:spacing w:before="145"/>
              <w:ind w:left="102"/>
              <w:rPr>
                <w:b/>
                <w:sz w:val="18"/>
              </w:rPr>
            </w:pPr>
            <w:r>
              <w:rPr>
                <w:b/>
                <w:w w:val="99"/>
                <w:sz w:val="18"/>
              </w:rPr>
              <w:t>▲</w:t>
            </w:r>
          </w:p>
        </w:tc>
        <w:tc>
          <w:tcPr>
            <w:tcW w:w="639" w:type="dxa"/>
            <w:tcBorders>
              <w:left w:val="single" w:color="000000" w:sz="8" w:space="0"/>
              <w:bottom w:val="single" w:color="000000" w:sz="8" w:space="0"/>
              <w:right w:val="single" w:color="000000" w:sz="8" w:space="0"/>
            </w:tcBorders>
            <w:vAlign w:val="top"/>
          </w:tcPr>
          <w:p>
            <w:pPr>
              <w:pStyle w:val="20"/>
              <w:spacing w:before="145"/>
              <w:ind w:left="104"/>
              <w:rPr>
                <w:b/>
                <w:sz w:val="18"/>
              </w:rPr>
            </w:pPr>
            <w:r>
              <w:rPr>
                <w:b/>
                <w:w w:val="99"/>
                <w:sz w:val="18"/>
              </w:rPr>
              <w:t>▲</w:t>
            </w:r>
          </w:p>
        </w:tc>
        <w:tc>
          <w:tcPr>
            <w:tcW w:w="639" w:type="dxa"/>
            <w:tcBorders>
              <w:left w:val="single" w:color="000000" w:sz="8" w:space="0"/>
              <w:bottom w:val="single" w:color="000000" w:sz="8" w:space="0"/>
              <w:right w:val="single" w:color="000000" w:sz="8" w:space="0"/>
            </w:tcBorders>
            <w:vAlign w:val="top"/>
          </w:tcPr>
          <w:p>
            <w:pPr>
              <w:pStyle w:val="20"/>
              <w:spacing w:before="145"/>
              <w:ind w:left="103"/>
              <w:rPr>
                <w:b/>
                <w:sz w:val="18"/>
              </w:rPr>
            </w:pPr>
            <w:r>
              <w:rPr>
                <w:b/>
                <w:w w:val="99"/>
                <w:sz w:val="18"/>
              </w:rPr>
              <w:t>▲</w:t>
            </w:r>
          </w:p>
        </w:tc>
        <w:tc>
          <w:tcPr>
            <w:tcW w:w="639" w:type="dxa"/>
            <w:tcBorders>
              <w:left w:val="single" w:color="000000" w:sz="8" w:space="0"/>
              <w:bottom w:val="single" w:color="000000" w:sz="8" w:space="0"/>
              <w:right w:val="single" w:color="000000" w:sz="8" w:space="0"/>
            </w:tcBorders>
            <w:vAlign w:val="top"/>
          </w:tcPr>
          <w:p>
            <w:pPr>
              <w:pStyle w:val="20"/>
              <w:spacing w:before="145"/>
              <w:ind w:left="102"/>
              <w:rPr>
                <w:b/>
                <w:sz w:val="18"/>
              </w:rPr>
            </w:pPr>
            <w:r>
              <w:rPr>
                <w:b/>
                <w:w w:val="99"/>
                <w:sz w:val="18"/>
              </w:rPr>
              <w:t>▲</w:t>
            </w:r>
          </w:p>
        </w:tc>
        <w:tc>
          <w:tcPr>
            <w:tcW w:w="639" w:type="dxa"/>
            <w:tcBorders>
              <w:left w:val="single" w:color="000000" w:sz="8" w:space="0"/>
              <w:bottom w:val="single" w:color="000000" w:sz="8" w:space="0"/>
              <w:right w:val="single" w:color="000000" w:sz="8" w:space="0"/>
            </w:tcBorders>
            <w:vAlign w:val="top"/>
          </w:tcPr>
          <w:p>
            <w:pPr>
              <w:pStyle w:val="20"/>
              <w:spacing w:before="145"/>
              <w:ind w:left="102"/>
              <w:rPr>
                <w:b/>
                <w:sz w:val="18"/>
              </w:rPr>
            </w:pPr>
            <w:r>
              <w:rPr>
                <w:b/>
                <w:w w:val="99"/>
                <w:sz w:val="18"/>
              </w:rPr>
              <w:t>▲</w:t>
            </w:r>
          </w:p>
        </w:tc>
        <w:tc>
          <w:tcPr>
            <w:tcW w:w="639" w:type="dxa"/>
            <w:tcBorders>
              <w:left w:val="single" w:color="000000" w:sz="8" w:space="0"/>
              <w:bottom w:val="single" w:color="000000" w:sz="8" w:space="0"/>
              <w:right w:val="single" w:color="000000" w:sz="8" w:space="0"/>
            </w:tcBorders>
            <w:vAlign w:val="top"/>
          </w:tcPr>
          <w:p>
            <w:pPr>
              <w:pStyle w:val="20"/>
              <w:spacing w:before="145"/>
              <w:ind w:left="104"/>
              <w:rPr>
                <w:b/>
                <w:sz w:val="18"/>
              </w:rPr>
            </w:pPr>
            <w:r>
              <w:rPr>
                <w:b/>
                <w:w w:val="99"/>
                <w:sz w:val="18"/>
              </w:rPr>
              <w:t>●</w:t>
            </w:r>
          </w:p>
        </w:tc>
        <w:tc>
          <w:tcPr>
            <w:tcW w:w="659" w:type="dxa"/>
            <w:tcBorders>
              <w:left w:val="single" w:color="000000" w:sz="8" w:space="0"/>
              <w:bottom w:val="single" w:color="000000" w:sz="8" w:space="0"/>
            </w:tcBorders>
            <w:vAlign w:val="top"/>
          </w:tcPr>
          <w:p>
            <w:pPr>
              <w:pStyle w:val="20"/>
              <w:spacing w:before="145"/>
              <w:ind w:left="103"/>
              <w:rPr>
                <w:b/>
                <w:sz w:val="18"/>
              </w:rPr>
            </w:pPr>
            <w:r>
              <w:rPr>
                <w:b/>
                <w:w w:val="99"/>
                <w:sz w:val="18"/>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vAlign w:val="top"/>
          </w:tcPr>
          <w:p>
            <w:pPr>
              <w:pStyle w:val="20"/>
              <w:spacing w:before="126"/>
              <w:ind w:left="20"/>
              <w:jc w:val="center"/>
              <w:rPr>
                <w:b/>
                <w:sz w:val="21"/>
              </w:rPr>
            </w:pPr>
            <w:r>
              <w:rPr>
                <w:b/>
                <w:w w:val="99"/>
                <w:sz w:val="21"/>
              </w:rPr>
              <w:t>二</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2"/>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4"/>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2"/>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4"/>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2"/>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4"/>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2"/>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4"/>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2"/>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2"/>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6"/>
              <w:ind w:left="104"/>
              <w:rPr>
                <w:b/>
                <w:sz w:val="18"/>
              </w:rPr>
            </w:pPr>
            <w:r>
              <w:rPr>
                <w:b/>
                <w:w w:val="99"/>
                <w:sz w:val="18"/>
              </w:rPr>
              <w:t>●</w:t>
            </w:r>
          </w:p>
        </w:tc>
        <w:tc>
          <w:tcPr>
            <w:tcW w:w="659" w:type="dxa"/>
            <w:tcBorders>
              <w:top w:val="single" w:color="000000" w:sz="8" w:space="0"/>
              <w:left w:val="single" w:color="000000" w:sz="8" w:space="0"/>
              <w:bottom w:val="single" w:color="000000" w:sz="8" w:space="0"/>
            </w:tcBorders>
            <w:vAlign w:val="top"/>
          </w:tcPr>
          <w:p>
            <w:pPr>
              <w:pStyle w:val="20"/>
              <w:spacing w:before="146"/>
              <w:ind w:left="103"/>
              <w:rPr>
                <w:b/>
                <w:sz w:val="18"/>
              </w:rPr>
            </w:pPr>
            <w:r>
              <w:rPr>
                <w:b/>
                <w:w w:val="99"/>
                <w:sz w:val="18"/>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vAlign w:val="top"/>
          </w:tcPr>
          <w:p>
            <w:pPr>
              <w:pStyle w:val="20"/>
              <w:spacing w:before="126"/>
              <w:ind w:left="20"/>
              <w:jc w:val="center"/>
              <w:rPr>
                <w:b/>
                <w:sz w:val="21"/>
              </w:rPr>
            </w:pPr>
            <w:r>
              <w:rPr>
                <w:b/>
                <w:w w:val="99"/>
                <w:sz w:val="21"/>
              </w:rPr>
              <w:t>三</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4"/>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4"/>
              <w:ind w:left="102"/>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4"/>
              <w:ind w:left="104"/>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4"/>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4"/>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4"/>
              <w:ind w:left="102"/>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4"/>
              <w:ind w:left="104"/>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4"/>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4"/>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4"/>
              <w:ind w:left="102"/>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4"/>
              <w:ind w:left="104"/>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4"/>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4"/>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4"/>
              <w:ind w:left="102"/>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4"/>
              <w:ind w:left="104"/>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4"/>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4"/>
              <w:ind w:left="102"/>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numPr>
                <w:ilvl w:val="0"/>
                <w:numId w:val="5"/>
              </w:numPr>
              <w:tabs>
                <w:tab w:val="left" w:pos="284"/>
              </w:tabs>
              <w:spacing w:before="144"/>
              <w:ind w:hanging="182"/>
              <w:rPr>
                <w:b/>
                <w:sz w:val="18"/>
              </w:rPr>
            </w:pPr>
            <w:r>
              <w:rPr>
                <w:rFonts w:ascii="Calibri" w:hAnsi="Calibri"/>
                <w:b/>
                <w:sz w:val="18"/>
              </w:rPr>
              <w:t>/</w:t>
            </w:r>
            <w:r>
              <w:rPr>
                <w:b/>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numPr>
                <w:ilvl w:val="0"/>
                <w:numId w:val="6"/>
              </w:numPr>
              <w:tabs>
                <w:tab w:val="left" w:pos="286"/>
              </w:tabs>
              <w:spacing w:before="144"/>
              <w:ind w:hanging="182"/>
              <w:rPr>
                <w:b/>
                <w:sz w:val="18"/>
              </w:rPr>
            </w:pPr>
            <w:r>
              <w:rPr>
                <w:rFonts w:ascii="Calibri" w:hAnsi="Calibri"/>
                <w:b/>
                <w:sz w:val="18"/>
              </w:rPr>
              <w:t>/</w:t>
            </w:r>
            <w:r>
              <w:rPr>
                <w:b/>
                <w:sz w:val="18"/>
              </w:rPr>
              <w:t>●</w:t>
            </w:r>
          </w:p>
        </w:tc>
        <w:tc>
          <w:tcPr>
            <w:tcW w:w="659" w:type="dxa"/>
            <w:tcBorders>
              <w:top w:val="single" w:color="000000" w:sz="8" w:space="0"/>
              <w:left w:val="single" w:color="000000" w:sz="8" w:space="0"/>
              <w:bottom w:val="single" w:color="000000" w:sz="8" w:space="0"/>
            </w:tcBorders>
            <w:vAlign w:val="top"/>
          </w:tcPr>
          <w:p>
            <w:pPr>
              <w:pStyle w:val="20"/>
              <w:spacing w:before="144"/>
              <w:ind w:left="103"/>
              <w:rPr>
                <w:b/>
                <w:sz w:val="18"/>
              </w:rPr>
            </w:pPr>
            <w:r>
              <w:rPr>
                <w:b/>
                <w:w w:val="99"/>
                <w:sz w:val="18"/>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vAlign w:val="top"/>
          </w:tcPr>
          <w:p>
            <w:pPr>
              <w:pStyle w:val="20"/>
              <w:spacing w:before="124"/>
              <w:ind w:left="20"/>
              <w:jc w:val="center"/>
              <w:rPr>
                <w:b/>
                <w:sz w:val="21"/>
              </w:rPr>
            </w:pPr>
            <w:r>
              <w:rPr>
                <w:b/>
                <w:w w:val="99"/>
                <w:sz w:val="21"/>
              </w:rPr>
              <w:t>四</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2"/>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4"/>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2"/>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4"/>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2"/>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4"/>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2"/>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4"/>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3"/>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2"/>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45"/>
              <w:ind w:left="102"/>
              <w:rPr>
                <w:b/>
                <w:sz w:val="18"/>
              </w:rPr>
            </w:pPr>
            <w:r>
              <w:rPr>
                <w:b/>
                <w:w w:val="99"/>
                <w:sz w:val="18"/>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numPr>
                <w:ilvl w:val="0"/>
                <w:numId w:val="7"/>
              </w:numPr>
              <w:tabs>
                <w:tab w:val="left" w:pos="286"/>
              </w:tabs>
              <w:spacing w:before="145"/>
              <w:ind w:hanging="182"/>
              <w:rPr>
                <w:b/>
                <w:sz w:val="18"/>
              </w:rPr>
            </w:pPr>
            <w:r>
              <w:rPr>
                <w:rFonts w:ascii="Calibri" w:hAnsi="Calibri"/>
                <w:b/>
                <w:sz w:val="18"/>
              </w:rPr>
              <w:t>/</w:t>
            </w:r>
            <w:r>
              <w:rPr>
                <w:b/>
                <w:sz w:val="18"/>
              </w:rPr>
              <w:t>●</w:t>
            </w:r>
          </w:p>
        </w:tc>
        <w:tc>
          <w:tcPr>
            <w:tcW w:w="659" w:type="dxa"/>
            <w:tcBorders>
              <w:top w:val="single" w:color="000000" w:sz="8" w:space="0"/>
              <w:left w:val="single" w:color="000000" w:sz="8" w:space="0"/>
              <w:bottom w:val="single" w:color="000000" w:sz="8" w:space="0"/>
            </w:tcBorders>
            <w:vAlign w:val="top"/>
          </w:tcPr>
          <w:p>
            <w:pPr>
              <w:pStyle w:val="20"/>
              <w:spacing w:before="145"/>
              <w:ind w:left="103"/>
              <w:rPr>
                <w:b/>
                <w:sz w:val="18"/>
              </w:rPr>
            </w:pPr>
            <w:r>
              <w:rPr>
                <w:b/>
                <w:w w:val="99"/>
                <w:sz w:val="18"/>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vAlign w:val="top"/>
          </w:tcPr>
          <w:p>
            <w:pPr>
              <w:pStyle w:val="20"/>
              <w:spacing w:before="125"/>
              <w:ind w:left="20"/>
              <w:jc w:val="center"/>
              <w:rPr>
                <w:b/>
                <w:sz w:val="21"/>
              </w:rPr>
            </w:pPr>
            <w:r>
              <w:rPr>
                <w:b/>
                <w:w w:val="99"/>
                <w:sz w:val="21"/>
              </w:rPr>
              <w:t>五</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3"/>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2"/>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4"/>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3"/>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3"/>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2"/>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4"/>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3"/>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3"/>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2"/>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4"/>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3"/>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3"/>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2"/>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4"/>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3"/>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2"/>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2"/>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rPr>
                <w:rFonts w:ascii="Times New Roman"/>
                <w:sz w:val="20"/>
              </w:rPr>
            </w:pPr>
          </w:p>
        </w:tc>
        <w:tc>
          <w:tcPr>
            <w:tcW w:w="659" w:type="dxa"/>
            <w:tcBorders>
              <w:top w:val="single" w:color="000000" w:sz="8" w:space="0"/>
              <w:left w:val="single" w:color="000000" w:sz="8" w:space="0"/>
              <w:bottom w:val="single" w:color="000000" w:sz="8" w:space="0"/>
            </w:tcBorders>
            <w:vAlign w:val="top"/>
          </w:tcPr>
          <w:p>
            <w:pPr>
              <w:pStyle w:val="2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vAlign w:val="top"/>
          </w:tcPr>
          <w:p>
            <w:pPr>
              <w:pStyle w:val="20"/>
              <w:spacing w:before="125"/>
              <w:ind w:left="20"/>
              <w:jc w:val="center"/>
              <w:rPr>
                <w:b/>
                <w:sz w:val="21"/>
              </w:rPr>
            </w:pPr>
            <w:r>
              <w:rPr>
                <w:b/>
                <w:w w:val="99"/>
                <w:sz w:val="21"/>
              </w:rPr>
              <w:t>六</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3"/>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2"/>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4"/>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3"/>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3"/>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2"/>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4"/>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3"/>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3"/>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2"/>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4"/>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3"/>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3"/>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2"/>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4"/>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3"/>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2"/>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spacing w:before="125"/>
              <w:ind w:left="102"/>
              <w:rPr>
                <w:b/>
                <w:sz w:val="21"/>
              </w:rPr>
            </w:pPr>
            <w:r>
              <w:rPr>
                <w:b/>
                <w:w w:val="99"/>
                <w:sz w:val="21"/>
              </w:rPr>
              <w:t>☆</w:t>
            </w:r>
          </w:p>
        </w:tc>
        <w:tc>
          <w:tcPr>
            <w:tcW w:w="639" w:type="dxa"/>
            <w:tcBorders>
              <w:top w:val="single" w:color="000000" w:sz="8" w:space="0"/>
              <w:left w:val="single" w:color="000000" w:sz="8" w:space="0"/>
              <w:bottom w:val="single" w:color="000000" w:sz="8" w:space="0"/>
              <w:right w:val="single" w:color="000000" w:sz="8" w:space="0"/>
            </w:tcBorders>
            <w:vAlign w:val="top"/>
          </w:tcPr>
          <w:p>
            <w:pPr>
              <w:pStyle w:val="20"/>
              <w:rPr>
                <w:rFonts w:ascii="Times New Roman"/>
                <w:sz w:val="20"/>
              </w:rPr>
            </w:pPr>
          </w:p>
        </w:tc>
        <w:tc>
          <w:tcPr>
            <w:tcW w:w="659" w:type="dxa"/>
            <w:tcBorders>
              <w:top w:val="single" w:color="000000" w:sz="8" w:space="0"/>
              <w:left w:val="single" w:color="000000" w:sz="8" w:space="0"/>
              <w:bottom w:val="single" w:color="000000" w:sz="8" w:space="0"/>
            </w:tcBorders>
            <w:vAlign w:val="top"/>
          </w:tcPr>
          <w:p>
            <w:pPr>
              <w:pStyle w:val="2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1" w:hRule="atLeast"/>
        </w:trPr>
        <w:tc>
          <w:tcPr>
            <w:tcW w:w="14488" w:type="dxa"/>
            <w:gridSpan w:val="21"/>
            <w:tcBorders>
              <w:top w:val="single" w:color="000000" w:sz="8" w:space="0"/>
              <w:bottom w:val="single" w:color="000000" w:sz="8" w:space="0"/>
            </w:tcBorders>
            <w:vAlign w:val="top"/>
          </w:tcPr>
          <w:p>
            <w:pPr>
              <w:pStyle w:val="20"/>
              <w:spacing w:before="35"/>
              <w:ind w:left="98"/>
              <w:rPr>
                <w:b/>
                <w:sz w:val="21"/>
              </w:rPr>
            </w:pPr>
            <w:r>
              <w:rPr>
                <w:b/>
                <w:sz w:val="21"/>
              </w:rPr>
              <w:t>备注</w:t>
            </w:r>
          </w:p>
          <w:p>
            <w:pPr>
              <w:pStyle w:val="20"/>
              <w:numPr>
                <w:ilvl w:val="0"/>
                <w:numId w:val="8"/>
              </w:numPr>
              <w:tabs>
                <w:tab w:val="left" w:pos="366"/>
              </w:tabs>
              <w:spacing w:before="45"/>
              <w:ind w:hanging="268"/>
              <w:rPr>
                <w:b/>
                <w:sz w:val="21"/>
              </w:rPr>
            </w:pPr>
            <w:r>
              <w:rPr>
                <w:b/>
                <w:sz w:val="21"/>
              </w:rPr>
              <w:t>标识说明：○—军事训练；▲—理论教学、理实一体教学；※—劳动教育；◇—校内实训课程；☆—顶岗实习；□—毕业设计；●课程复习；</w:t>
            </w:r>
            <w:r>
              <w:rPr>
                <w:b/>
                <w:spacing w:val="2"/>
                <w:sz w:val="21"/>
              </w:rPr>
              <w:t>¤</w:t>
            </w:r>
            <w:r>
              <w:rPr>
                <w:b/>
                <w:sz w:val="21"/>
              </w:rPr>
              <w:t>—考试</w:t>
            </w:r>
          </w:p>
          <w:p>
            <w:pPr>
              <w:pStyle w:val="20"/>
              <w:numPr>
                <w:ilvl w:val="0"/>
                <w:numId w:val="8"/>
              </w:numPr>
              <w:tabs>
                <w:tab w:val="left" w:pos="366"/>
              </w:tabs>
              <w:spacing w:before="43"/>
              <w:ind w:hanging="268"/>
              <w:rPr>
                <w:b/>
                <w:sz w:val="21"/>
              </w:rPr>
            </w:pPr>
            <w:r>
              <w:rPr>
                <w:b/>
                <w:sz w:val="21"/>
              </w:rPr>
              <w:t>如某学期教学进程与课程安排表不同，请在下方空白处说明具体情况。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1688" w:type="dxa"/>
            <w:tcBorders>
              <w:top w:val="single" w:color="000000" w:sz="8" w:space="0"/>
              <w:right w:val="single" w:color="000000" w:sz="8" w:space="0"/>
            </w:tcBorders>
            <w:vAlign w:val="top"/>
          </w:tcPr>
          <w:p>
            <w:pPr>
              <w:pStyle w:val="20"/>
              <w:spacing w:before="36"/>
              <w:ind w:left="98"/>
              <w:rPr>
                <w:b/>
                <w:sz w:val="21"/>
              </w:rPr>
            </w:pPr>
            <w:r>
              <w:rPr>
                <w:b/>
                <w:w w:val="95"/>
                <w:sz w:val="21"/>
              </w:rPr>
              <w:t>情况</w:t>
            </w:r>
          </w:p>
          <w:p>
            <w:pPr>
              <w:pStyle w:val="20"/>
              <w:spacing w:before="43"/>
              <w:ind w:left="98"/>
              <w:rPr>
                <w:b/>
                <w:sz w:val="21"/>
              </w:rPr>
            </w:pPr>
            <w:r>
              <w:rPr>
                <w:b/>
                <w:w w:val="95"/>
                <w:sz w:val="21"/>
              </w:rPr>
              <w:t>说明</w:t>
            </w:r>
          </w:p>
        </w:tc>
        <w:tc>
          <w:tcPr>
            <w:tcW w:w="12800" w:type="dxa"/>
            <w:gridSpan w:val="20"/>
            <w:tcBorders>
              <w:top w:val="single" w:color="000000" w:sz="8" w:space="0"/>
              <w:left w:val="single" w:color="000000" w:sz="8" w:space="0"/>
            </w:tcBorders>
            <w:vAlign w:val="top"/>
          </w:tcPr>
          <w:p>
            <w:pPr>
              <w:pStyle w:val="20"/>
              <w:rPr>
                <w:rFonts w:ascii="Times New Roman"/>
                <w:sz w:val="20"/>
              </w:rPr>
            </w:pPr>
          </w:p>
        </w:tc>
      </w:tr>
    </w:tbl>
    <w:p>
      <w:pPr>
        <w:rPr>
          <w:rFonts w:ascii="Times New Roman"/>
          <w:sz w:val="20"/>
        </w:rPr>
        <w:sectPr>
          <w:pgSz w:w="16840" w:h="11910" w:orient="landscape"/>
          <w:pgMar w:top="1100" w:right="1040" w:bottom="280" w:left="1060" w:header="720" w:footer="720" w:gutter="0"/>
          <w:pgNumType w:fmt="decimal"/>
          <w:cols w:space="720" w:num="1"/>
        </w:sectPr>
      </w:pPr>
    </w:p>
    <w:p>
      <w:pPr>
        <w:spacing w:before="55"/>
        <w:rPr>
          <w:sz w:val="32"/>
        </w:rPr>
      </w:pPr>
      <w:r>
        <w:rPr>
          <w:sz w:val="32"/>
        </w:rPr>
        <w:t xml:space="preserve">附录 </w:t>
      </w:r>
      <w:r>
        <w:rPr>
          <w:rFonts w:ascii="Calibri" w:eastAsia="Calibri"/>
          <w:sz w:val="32"/>
        </w:rPr>
        <w:t>2</w:t>
      </w:r>
      <w:r>
        <w:rPr>
          <w:sz w:val="32"/>
        </w:rPr>
        <w:t>：专业教学进程调整审批表</w:t>
      </w:r>
    </w:p>
    <w:p>
      <w:pPr>
        <w:widowControl/>
        <w:spacing w:line="540" w:lineRule="exact"/>
        <w:jc w:val="center"/>
        <w:rPr>
          <w:sz w:val="32"/>
          <w:szCs w:val="32"/>
        </w:rPr>
      </w:pPr>
      <w:bookmarkStart w:id="23" w:name="_Hlk46305092"/>
      <w:r>
        <w:rPr>
          <w:rFonts w:hint="eastAsia" w:ascii="微软雅黑" w:hAnsi="微软雅黑" w:eastAsia="微软雅黑"/>
          <w:color w:val="000000"/>
          <w:sz w:val="32"/>
          <w:szCs w:val="32"/>
        </w:rPr>
        <w:t>附表二：南通职业大学教学进程调整审批表</w:t>
      </w:r>
      <w:bookmarkEnd w:id="23"/>
    </w:p>
    <w:p>
      <w:pPr>
        <w:widowControl/>
        <w:jc w:val="center"/>
        <w:rPr>
          <w:sz w:val="24"/>
          <w:szCs w:val="24"/>
        </w:rPr>
      </w:pPr>
      <w:r>
        <w:rPr>
          <w:rFonts w:hint="eastAsia" w:ascii="微软雅黑" w:hAnsi="微软雅黑" w:eastAsia="微软雅黑"/>
          <w:color w:val="000000"/>
          <w:sz w:val="24"/>
          <w:szCs w:val="24"/>
        </w:rPr>
        <w:t>（         -        学年第      学期）</w:t>
      </w:r>
    </w:p>
    <w:p>
      <w:pPr>
        <w:widowControl/>
        <w:jc w:val="center"/>
        <w:rPr>
          <w:sz w:val="24"/>
          <w:szCs w:val="24"/>
        </w:rPr>
      </w:pPr>
      <w:r>
        <w:rPr>
          <w:rFonts w:hint="eastAsia" w:ascii="微软雅黑" w:hAnsi="微软雅黑" w:eastAsia="微软雅黑"/>
          <w:color w:val="000000"/>
          <w:sz w:val="24"/>
          <w:szCs w:val="24"/>
        </w:rPr>
        <w:t>二级学院（部）：                                                              填表日期：     年     月     日</w:t>
      </w:r>
    </w:p>
    <w:tbl>
      <w:tblPr>
        <w:tblStyle w:val="10"/>
        <w:tblW w:w="13858" w:type="dxa"/>
        <w:jc w:val="center"/>
        <w:tblLayout w:type="fixed"/>
        <w:tblCellMar>
          <w:top w:w="0" w:type="dxa"/>
          <w:left w:w="0" w:type="dxa"/>
          <w:bottom w:w="0" w:type="dxa"/>
          <w:right w:w="0" w:type="dxa"/>
        </w:tblCellMar>
      </w:tblPr>
      <w:tblGrid>
        <w:gridCol w:w="2095"/>
        <w:gridCol w:w="1278"/>
        <w:gridCol w:w="2531"/>
        <w:gridCol w:w="1276"/>
        <w:gridCol w:w="1006"/>
        <w:gridCol w:w="1440"/>
        <w:gridCol w:w="1097"/>
        <w:gridCol w:w="110"/>
        <w:gridCol w:w="3025"/>
      </w:tblGrid>
      <w:tr>
        <w:tblPrEx>
          <w:tblCellMar>
            <w:top w:w="0" w:type="dxa"/>
            <w:left w:w="0" w:type="dxa"/>
            <w:bottom w:w="0" w:type="dxa"/>
            <w:right w:w="0" w:type="dxa"/>
          </w:tblCellMar>
        </w:tblPrEx>
        <w:trPr>
          <w:trHeight w:val="865" w:hRule="atLeast"/>
          <w:jc w:val="center"/>
        </w:trPr>
        <w:tc>
          <w:tcPr>
            <w:tcW w:w="2095"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专业名称</w:t>
            </w:r>
          </w:p>
        </w:tc>
        <w:tc>
          <w:tcPr>
            <w:tcW w:w="1278"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班级名称</w:t>
            </w:r>
          </w:p>
        </w:tc>
        <w:tc>
          <w:tcPr>
            <w:tcW w:w="4813"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原教学进程安排</w:t>
            </w:r>
          </w:p>
        </w:tc>
        <w:tc>
          <w:tcPr>
            <w:tcW w:w="2647"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调整后教学进程安排</w:t>
            </w:r>
          </w:p>
        </w:tc>
        <w:tc>
          <w:tcPr>
            <w:tcW w:w="3025"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调整原因</w:t>
            </w:r>
          </w:p>
        </w:tc>
      </w:tr>
      <w:tr>
        <w:tblPrEx>
          <w:tblCellMar>
            <w:top w:w="0" w:type="dxa"/>
            <w:left w:w="0" w:type="dxa"/>
            <w:bottom w:w="0" w:type="dxa"/>
            <w:right w:w="0" w:type="dxa"/>
          </w:tblCellMar>
        </w:tblPrEx>
        <w:trPr>
          <w:trHeight w:val="432" w:hRule="atLeast"/>
          <w:jc w:val="center"/>
        </w:trPr>
        <w:tc>
          <w:tcPr>
            <w:tcW w:w="2095"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sz w:val="24"/>
                <w:szCs w:val="24"/>
              </w:rPr>
            </w:pPr>
          </w:p>
        </w:tc>
        <w:tc>
          <w:tcPr>
            <w:tcW w:w="1278"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课程名称</w:t>
            </w:r>
          </w:p>
        </w:tc>
        <w:tc>
          <w:tcPr>
            <w:tcW w:w="127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起止周</w:t>
            </w:r>
          </w:p>
        </w:tc>
        <w:tc>
          <w:tcPr>
            <w:tcW w:w="100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周数</w:t>
            </w:r>
          </w:p>
        </w:tc>
        <w:tc>
          <w:tcPr>
            <w:tcW w:w="144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起止周</w:t>
            </w:r>
          </w:p>
        </w:tc>
        <w:tc>
          <w:tcPr>
            <w:tcW w:w="1207"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周数</w:t>
            </w:r>
          </w:p>
        </w:tc>
        <w:tc>
          <w:tcPr>
            <w:tcW w:w="3025"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pPr>
              <w:jc w:val="center"/>
              <w:rPr>
                <w:sz w:val="24"/>
                <w:szCs w:val="24"/>
              </w:rPr>
            </w:pPr>
          </w:p>
        </w:tc>
      </w:tr>
      <w:tr>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rPr>
                <w:sz w:val="24"/>
                <w:szCs w:val="24"/>
              </w:rPr>
            </w:pPr>
          </w:p>
        </w:tc>
      </w:tr>
      <w:tr>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rPr>
                <w:sz w:val="24"/>
                <w:szCs w:val="24"/>
              </w:rPr>
            </w:pPr>
          </w:p>
        </w:tc>
      </w:tr>
      <w:tr>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rPr>
                <w:sz w:val="24"/>
                <w:szCs w:val="24"/>
              </w:rPr>
            </w:pPr>
          </w:p>
        </w:tc>
      </w:tr>
      <w:tr>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rPr>
                <w:sz w:val="24"/>
                <w:szCs w:val="24"/>
              </w:rPr>
            </w:pPr>
          </w:p>
        </w:tc>
      </w:tr>
      <w:tr>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rPr>
                <w:sz w:val="24"/>
                <w:szCs w:val="24"/>
              </w:rPr>
            </w:pPr>
          </w:p>
        </w:tc>
      </w:tr>
      <w:tr>
        <w:tblPrEx>
          <w:tblCellMar>
            <w:top w:w="0" w:type="dxa"/>
            <w:left w:w="0" w:type="dxa"/>
            <w:bottom w:w="0" w:type="dxa"/>
            <w:right w:w="0" w:type="dxa"/>
          </w:tblCellMar>
        </w:tblPrEx>
        <w:trPr>
          <w:trHeight w:val="1111" w:hRule="atLeast"/>
          <w:jc w:val="center"/>
        </w:trPr>
        <w:tc>
          <w:tcPr>
            <w:tcW w:w="3373" w:type="dxa"/>
            <w:gridSpan w:val="2"/>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tcPr>
          <w:p>
            <w:pPr>
              <w:rPr>
                <w:sz w:val="24"/>
                <w:szCs w:val="24"/>
              </w:rPr>
            </w:pPr>
            <w:r>
              <w:rPr>
                <w:rFonts w:hint="eastAsia"/>
                <w:b/>
                <w:bCs/>
                <w:sz w:val="24"/>
                <w:szCs w:val="24"/>
              </w:rPr>
              <w:t>教研室负责人意见：</w:t>
            </w:r>
          </w:p>
        </w:tc>
        <w:tc>
          <w:tcPr>
            <w:tcW w:w="4813" w:type="dxa"/>
            <w:gridSpan w:val="3"/>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tcPr>
          <w:p>
            <w:pPr>
              <w:rPr>
                <w:sz w:val="24"/>
                <w:szCs w:val="24"/>
              </w:rPr>
            </w:pPr>
            <w:r>
              <w:rPr>
                <w:rFonts w:hint="eastAsia"/>
                <w:b/>
                <w:bCs/>
                <w:sz w:val="24"/>
                <w:szCs w:val="24"/>
              </w:rPr>
              <w:t>开课部门主管教学负责人意见：</w:t>
            </w:r>
          </w:p>
        </w:tc>
        <w:tc>
          <w:tcPr>
            <w:tcW w:w="2537" w:type="dxa"/>
            <w:gridSpan w:val="2"/>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tcPr>
          <w:p>
            <w:pPr>
              <w:rPr>
                <w:sz w:val="24"/>
                <w:szCs w:val="24"/>
              </w:rPr>
            </w:pPr>
            <w:r>
              <w:rPr>
                <w:rFonts w:hint="eastAsia"/>
                <w:b/>
                <w:bCs/>
                <w:sz w:val="24"/>
                <w:szCs w:val="24"/>
              </w:rPr>
              <w:t>教务处意见：</w:t>
            </w:r>
          </w:p>
        </w:tc>
        <w:tc>
          <w:tcPr>
            <w:tcW w:w="3135" w:type="dxa"/>
            <w:gridSpan w:val="2"/>
            <w:tcBorders>
              <w:top w:val="single" w:color="000000" w:sz="8" w:space="0"/>
              <w:left w:val="single" w:color="000000" w:sz="12" w:space="0"/>
              <w:bottom w:val="single" w:color="000000" w:sz="12" w:space="0"/>
              <w:right w:val="single" w:color="000000" w:sz="12" w:space="0"/>
            </w:tcBorders>
            <w:tcMar>
              <w:top w:w="15" w:type="dxa"/>
              <w:left w:w="108" w:type="dxa"/>
              <w:bottom w:w="0" w:type="dxa"/>
              <w:right w:w="108" w:type="dxa"/>
            </w:tcMar>
          </w:tcPr>
          <w:p>
            <w:pPr>
              <w:rPr>
                <w:sz w:val="24"/>
                <w:szCs w:val="24"/>
              </w:rPr>
            </w:pPr>
            <w:r>
              <w:rPr>
                <w:rFonts w:hint="eastAsia"/>
                <w:b/>
                <w:bCs/>
                <w:sz w:val="24"/>
                <w:szCs w:val="24"/>
              </w:rPr>
              <w:t>教学副校长意见：</w:t>
            </w:r>
          </w:p>
        </w:tc>
      </w:tr>
    </w:tbl>
    <w:p>
      <w:pPr>
        <w:spacing w:line="360" w:lineRule="auto"/>
        <w:rPr>
          <w:sz w:val="24"/>
          <w:szCs w:val="24"/>
        </w:rPr>
      </w:pPr>
      <w:r>
        <w:rPr>
          <w:rFonts w:hint="eastAsia"/>
          <w:b/>
          <w:sz w:val="24"/>
          <w:szCs w:val="24"/>
        </w:rPr>
        <w:t>说明：</w:t>
      </w:r>
      <w:r>
        <w:rPr>
          <w:rFonts w:hint="eastAsia"/>
          <w:sz w:val="24"/>
          <w:szCs w:val="24"/>
        </w:rPr>
        <w:t>1.此表适用于学期中调整课程教学进程。      2.一式两份，一份教务处存，一份二级学院（部）存。审批办完后由二级学院（部）负责通知受影响的课程教师。</w:t>
      </w:r>
    </w:p>
    <w:p>
      <w:pPr>
        <w:spacing w:before="55"/>
        <w:rPr>
          <w:sz w:val="32"/>
        </w:rPr>
      </w:pPr>
      <w:bookmarkStart w:id="24" w:name="_Hlk46409765"/>
      <w:bookmarkStart w:id="25" w:name="_Hlk46409736"/>
      <w:r>
        <w:rPr>
          <w:sz w:val="32"/>
        </w:rPr>
        <w:t xml:space="preserve">附录 </w:t>
      </w:r>
      <w:r>
        <w:rPr>
          <w:rFonts w:hint="eastAsia" w:ascii="Calibri"/>
          <w:sz w:val="32"/>
        </w:rPr>
        <w:t>3</w:t>
      </w:r>
      <w:r>
        <w:rPr>
          <w:sz w:val="32"/>
        </w:rPr>
        <w:t>：专业人才培养方案调整审批表（必备证书）</w:t>
      </w:r>
    </w:p>
    <w:p>
      <w:pPr>
        <w:spacing w:line="360" w:lineRule="auto"/>
        <w:ind w:firstLine="1920" w:firstLineChars="600"/>
        <w:rPr>
          <w:sz w:val="32"/>
          <w:szCs w:val="32"/>
        </w:rPr>
      </w:pPr>
      <w:r>
        <w:rPr>
          <w:rFonts w:hint="eastAsia" w:ascii="微软雅黑" w:hAnsi="微软雅黑" w:eastAsia="微软雅黑"/>
          <w:color w:val="000000"/>
          <w:sz w:val="32"/>
          <w:szCs w:val="32"/>
        </w:rPr>
        <w:t>附表三：</w:t>
      </w:r>
      <w:bookmarkEnd w:id="24"/>
      <w:r>
        <w:rPr>
          <w:rFonts w:hint="eastAsia" w:ascii="微软雅黑" w:hAnsi="微软雅黑" w:eastAsia="微软雅黑"/>
          <w:color w:val="000000"/>
          <w:sz w:val="32"/>
          <w:szCs w:val="32"/>
        </w:rPr>
        <w:t>南通职业大学专业人才培养方案调整审批表（必备证书）</w:t>
      </w:r>
    </w:p>
    <w:bookmarkEnd w:id="25"/>
    <w:p>
      <w:pPr>
        <w:pStyle w:val="9"/>
        <w:spacing w:before="0" w:beforeAutospacing="0" w:after="0" w:afterAutospacing="0"/>
        <w:jc w:val="center"/>
      </w:pPr>
      <w:r>
        <w:rPr>
          <w:rFonts w:hint="eastAsia" w:ascii="微软雅黑" w:hAnsi="微软雅黑" w:eastAsia="微软雅黑"/>
          <w:color w:val="000000"/>
        </w:rPr>
        <w:t>（         -        学年第      学期）</w:t>
      </w:r>
    </w:p>
    <w:p>
      <w:pPr>
        <w:pStyle w:val="9"/>
        <w:spacing w:before="0" w:beforeAutospacing="0" w:after="0" w:afterAutospacing="0"/>
        <w:jc w:val="center"/>
      </w:pPr>
      <w:r>
        <w:rPr>
          <w:rFonts w:hint="eastAsia" w:ascii="微软雅黑" w:hAnsi="微软雅黑" w:eastAsia="微软雅黑"/>
          <w:color w:val="000000"/>
        </w:rPr>
        <w:t>二级学院（部）：                                                              填表日期：     年     月     日</w:t>
      </w:r>
    </w:p>
    <w:tbl>
      <w:tblPr>
        <w:tblStyle w:val="10"/>
        <w:tblW w:w="14000" w:type="dxa"/>
        <w:tblInd w:w="0" w:type="dxa"/>
        <w:tblLayout w:type="fixed"/>
        <w:tblCellMar>
          <w:top w:w="0" w:type="dxa"/>
          <w:left w:w="0" w:type="dxa"/>
          <w:bottom w:w="0" w:type="dxa"/>
          <w:right w:w="0" w:type="dxa"/>
        </w:tblCellMar>
      </w:tblPr>
      <w:tblGrid>
        <w:gridCol w:w="1978"/>
        <w:gridCol w:w="1107"/>
        <w:gridCol w:w="142"/>
        <w:gridCol w:w="850"/>
        <w:gridCol w:w="1560"/>
        <w:gridCol w:w="1701"/>
        <w:gridCol w:w="146"/>
        <w:gridCol w:w="1413"/>
        <w:gridCol w:w="1821"/>
        <w:gridCol w:w="3282"/>
      </w:tblGrid>
      <w:tr>
        <w:tblPrEx>
          <w:tblCellMar>
            <w:top w:w="0" w:type="dxa"/>
            <w:left w:w="0" w:type="dxa"/>
            <w:bottom w:w="0" w:type="dxa"/>
            <w:right w:w="0" w:type="dxa"/>
          </w:tblCellMar>
        </w:tblPrEx>
        <w:trPr>
          <w:trHeight w:val="406" w:hRule="atLeast"/>
        </w:trPr>
        <w:tc>
          <w:tcPr>
            <w:tcW w:w="1978"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专业名称</w:t>
            </w:r>
          </w:p>
        </w:tc>
        <w:tc>
          <w:tcPr>
            <w:tcW w:w="1107"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年级</w:t>
            </w:r>
          </w:p>
        </w:tc>
        <w:tc>
          <w:tcPr>
            <w:tcW w:w="992" w:type="dxa"/>
            <w:gridSpan w:val="2"/>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证书</w:t>
            </w:r>
          </w:p>
          <w:p>
            <w:pPr>
              <w:jc w:val="center"/>
            </w:pPr>
            <w:r>
              <w:rPr>
                <w:rFonts w:hint="eastAsia"/>
                <w:b/>
                <w:bCs/>
              </w:rPr>
              <w:t>类别</w:t>
            </w:r>
          </w:p>
        </w:tc>
        <w:tc>
          <w:tcPr>
            <w:tcW w:w="3261" w:type="dxa"/>
            <w:gridSpan w:val="2"/>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原必备证书</w:t>
            </w:r>
          </w:p>
        </w:tc>
        <w:tc>
          <w:tcPr>
            <w:tcW w:w="3380"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调整后必备证书</w:t>
            </w:r>
          </w:p>
        </w:tc>
        <w:tc>
          <w:tcPr>
            <w:tcW w:w="3282"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pPr>
              <w:jc w:val="center"/>
            </w:pPr>
            <w:r>
              <w:rPr>
                <w:rFonts w:hint="eastAsia"/>
                <w:b/>
                <w:bCs/>
              </w:rPr>
              <w:t>调整类别</w:t>
            </w:r>
          </w:p>
        </w:tc>
      </w:tr>
      <w:tr>
        <w:tblPrEx>
          <w:tblCellMar>
            <w:top w:w="0" w:type="dxa"/>
            <w:left w:w="0" w:type="dxa"/>
            <w:bottom w:w="0" w:type="dxa"/>
            <w:right w:w="0" w:type="dxa"/>
          </w:tblCellMar>
        </w:tblPrEx>
        <w:trPr>
          <w:trHeight w:val="624" w:hRule="atLeast"/>
        </w:trPr>
        <w:tc>
          <w:tcPr>
            <w:tcW w:w="1978"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pPr>
          </w:p>
        </w:tc>
        <w:tc>
          <w:tcPr>
            <w:tcW w:w="1107"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pPr>
              <w:jc w:val="center"/>
            </w:pPr>
          </w:p>
        </w:tc>
        <w:tc>
          <w:tcPr>
            <w:tcW w:w="992" w:type="dxa"/>
            <w:gridSpan w:val="2"/>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pPr>
              <w:jc w:val="center"/>
            </w:pPr>
          </w:p>
        </w:tc>
        <w:tc>
          <w:tcPr>
            <w:tcW w:w="156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证书名称</w:t>
            </w:r>
          </w:p>
        </w:tc>
        <w:tc>
          <w:tcPr>
            <w:tcW w:w="170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证书发证机构</w:t>
            </w:r>
          </w:p>
        </w:tc>
        <w:tc>
          <w:tcPr>
            <w:tcW w:w="1559"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证书名称</w:t>
            </w:r>
          </w:p>
        </w:tc>
        <w:tc>
          <w:tcPr>
            <w:tcW w:w="182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证书发证机构</w:t>
            </w:r>
          </w:p>
        </w:tc>
        <w:tc>
          <w:tcPr>
            <w:tcW w:w="3282"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pPr>
              <w:jc w:val="center"/>
            </w:pPr>
            <w:r>
              <w:rPr>
                <w:rFonts w:hint="eastAsia"/>
                <w:b/>
                <w:bCs/>
              </w:rPr>
              <w:t>①增加证书；②减少证书；</w:t>
            </w:r>
          </w:p>
          <w:p>
            <w:pPr>
              <w:jc w:val="center"/>
            </w:pPr>
            <w:r>
              <w:rPr>
                <w:rFonts w:hint="eastAsia"/>
                <w:b/>
                <w:bCs/>
              </w:rPr>
              <w:t>③变更证书名称；④变更发证机构</w:t>
            </w:r>
          </w:p>
        </w:tc>
      </w:tr>
      <w:tr>
        <w:tblPrEx>
          <w:tblCellMar>
            <w:top w:w="0" w:type="dxa"/>
            <w:left w:w="0" w:type="dxa"/>
            <w:bottom w:w="0" w:type="dxa"/>
            <w:right w:w="0" w:type="dxa"/>
          </w:tblCellMar>
        </w:tblPrEx>
        <w:trPr>
          <w:trHeight w:val="499"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pPr>
          </w:p>
        </w:tc>
      </w:tr>
      <w:tr>
        <w:tblPrEx>
          <w:tblCellMar>
            <w:top w:w="0" w:type="dxa"/>
            <w:left w:w="0" w:type="dxa"/>
            <w:bottom w:w="0" w:type="dxa"/>
            <w:right w:w="0" w:type="dxa"/>
          </w:tblCellMar>
        </w:tblPrEx>
        <w:trPr>
          <w:trHeight w:val="443"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pPr>
          </w:p>
        </w:tc>
      </w:tr>
      <w:tr>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pPr>
          </w:p>
        </w:tc>
      </w:tr>
      <w:tr>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pPr>
          </w:p>
        </w:tc>
      </w:tr>
      <w:tr>
        <w:tblPrEx>
          <w:tblCellMar>
            <w:top w:w="0" w:type="dxa"/>
            <w:left w:w="0" w:type="dxa"/>
            <w:bottom w:w="0" w:type="dxa"/>
            <w:right w:w="0" w:type="dxa"/>
          </w:tblCellMar>
        </w:tblPrEx>
        <w:trPr>
          <w:trHeight w:val="1192" w:hRule="atLeast"/>
        </w:trPr>
        <w:tc>
          <w:tcPr>
            <w:tcW w:w="14000" w:type="dxa"/>
            <w:gridSpan w:val="10"/>
            <w:tcBorders>
              <w:top w:val="single" w:color="000000" w:sz="8" w:space="0"/>
              <w:left w:val="single" w:color="000000" w:sz="12" w:space="0"/>
              <w:bottom w:val="single" w:color="000000" w:sz="8" w:space="0"/>
              <w:right w:val="single" w:color="000000" w:sz="12" w:space="0"/>
            </w:tcBorders>
            <w:tcMar>
              <w:top w:w="15" w:type="dxa"/>
              <w:left w:w="108" w:type="dxa"/>
              <w:bottom w:w="0" w:type="dxa"/>
              <w:right w:w="108" w:type="dxa"/>
            </w:tcMar>
          </w:tcPr>
          <w:p>
            <w:r>
              <w:rPr>
                <w:rFonts w:hint="eastAsia"/>
                <w:b/>
                <w:bCs/>
              </w:rPr>
              <w:t>调整原因：</w:t>
            </w:r>
          </w:p>
        </w:tc>
      </w:tr>
      <w:tr>
        <w:tblPrEx>
          <w:tblCellMar>
            <w:top w:w="0" w:type="dxa"/>
            <w:left w:w="0" w:type="dxa"/>
            <w:bottom w:w="0" w:type="dxa"/>
            <w:right w:w="0" w:type="dxa"/>
          </w:tblCellMar>
        </w:tblPrEx>
        <w:trPr>
          <w:trHeight w:val="415" w:hRule="atLeast"/>
        </w:trPr>
        <w:tc>
          <w:tcPr>
            <w:tcW w:w="3227" w:type="dxa"/>
            <w:gridSpan w:val="3"/>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vAlign w:val="center"/>
          </w:tcPr>
          <w:p>
            <w:r>
              <w:rPr>
                <w:rFonts w:hint="eastAsia"/>
                <w:b/>
                <w:bCs/>
              </w:rPr>
              <w:t>专业负责人：</w:t>
            </w:r>
          </w:p>
        </w:tc>
        <w:tc>
          <w:tcPr>
            <w:tcW w:w="4257" w:type="dxa"/>
            <w:gridSpan w:val="4"/>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r>
              <w:rPr>
                <w:rFonts w:hint="eastAsia"/>
                <w:b/>
                <w:bCs/>
              </w:rPr>
              <w:t>学院院长：</w:t>
            </w:r>
          </w:p>
        </w:tc>
        <w:tc>
          <w:tcPr>
            <w:tcW w:w="3234" w:type="dxa"/>
            <w:gridSpan w:val="2"/>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r>
              <w:rPr>
                <w:rFonts w:hint="eastAsia"/>
                <w:b/>
                <w:bCs/>
              </w:rPr>
              <w:t>教务处负责人：</w:t>
            </w:r>
          </w:p>
        </w:tc>
        <w:tc>
          <w:tcPr>
            <w:tcW w:w="3282" w:type="dxa"/>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vAlign w:val="center"/>
          </w:tcPr>
          <w:p>
            <w:r>
              <w:rPr>
                <w:rFonts w:hint="eastAsia"/>
                <w:b/>
                <w:bCs/>
              </w:rPr>
              <w:t>教学副校长：</w:t>
            </w:r>
          </w:p>
        </w:tc>
      </w:tr>
    </w:tbl>
    <w:p>
      <w:pPr>
        <w:rPr>
          <w:sz w:val="24"/>
          <w:szCs w:val="24"/>
        </w:rPr>
      </w:pPr>
      <w:r>
        <w:rPr>
          <w:rFonts w:hint="eastAsia"/>
          <w:b/>
          <w:sz w:val="24"/>
          <w:szCs w:val="24"/>
        </w:rPr>
        <w:t>说明：</w:t>
      </w:r>
      <w:r>
        <w:rPr>
          <w:rFonts w:hint="eastAsia"/>
          <w:sz w:val="24"/>
          <w:szCs w:val="24"/>
        </w:rPr>
        <w:t>1.此表只需要填报有变更内容的证书信息，证书名称及发证机构。</w:t>
      </w:r>
    </w:p>
    <w:p>
      <w:pPr>
        <w:spacing w:line="360" w:lineRule="auto"/>
        <w:rPr>
          <w:sz w:val="24"/>
          <w:szCs w:val="24"/>
        </w:rPr>
      </w:pPr>
      <w:r>
        <w:rPr>
          <w:rFonts w:hint="eastAsia"/>
          <w:sz w:val="24"/>
          <w:szCs w:val="24"/>
        </w:rPr>
        <w:t xml:space="preserve">      2.此表须在教学设计定稿后，未进行毕业审核前交到教务处</w:t>
      </w:r>
    </w:p>
    <w:p>
      <w:pPr>
        <w:spacing w:line="360" w:lineRule="auto"/>
        <w:rPr>
          <w:sz w:val="24"/>
          <w:szCs w:val="24"/>
        </w:rPr>
        <w:sectPr>
          <w:pgSz w:w="16838" w:h="11906" w:orient="landscape"/>
          <w:pgMar w:top="1797" w:right="1440" w:bottom="1797" w:left="1440" w:header="851" w:footer="992" w:gutter="0"/>
          <w:pgNumType w:fmt="decimal"/>
          <w:cols w:space="720" w:num="1"/>
          <w:titlePg/>
          <w:docGrid w:type="linesAndChars" w:linePitch="312" w:charSpace="0"/>
        </w:sectPr>
      </w:pPr>
    </w:p>
    <w:tbl>
      <w:tblPr>
        <w:tblStyle w:val="10"/>
        <w:tblW w:w="9497" w:type="dxa"/>
        <w:tblInd w:w="97" w:type="dxa"/>
        <w:tblLayout w:type="fixed"/>
        <w:tblCellMar>
          <w:top w:w="0" w:type="dxa"/>
          <w:left w:w="108" w:type="dxa"/>
          <w:bottom w:w="0" w:type="dxa"/>
          <w:right w:w="108" w:type="dxa"/>
        </w:tblCellMar>
      </w:tblPr>
      <w:tblGrid>
        <w:gridCol w:w="1087"/>
        <w:gridCol w:w="767"/>
        <w:gridCol w:w="425"/>
        <w:gridCol w:w="426"/>
        <w:gridCol w:w="425"/>
        <w:gridCol w:w="425"/>
        <w:gridCol w:w="284"/>
        <w:gridCol w:w="141"/>
        <w:gridCol w:w="709"/>
        <w:gridCol w:w="425"/>
        <w:gridCol w:w="426"/>
        <w:gridCol w:w="425"/>
        <w:gridCol w:w="425"/>
        <w:gridCol w:w="425"/>
        <w:gridCol w:w="709"/>
        <w:gridCol w:w="992"/>
        <w:gridCol w:w="574"/>
        <w:gridCol w:w="407"/>
      </w:tblGrid>
      <w:tr>
        <w:tblPrEx>
          <w:tblCellMar>
            <w:top w:w="0" w:type="dxa"/>
            <w:left w:w="108" w:type="dxa"/>
            <w:bottom w:w="0" w:type="dxa"/>
            <w:right w:w="108" w:type="dxa"/>
          </w:tblCellMar>
        </w:tblPrEx>
        <w:trPr>
          <w:gridAfter w:val="1"/>
          <w:wAfter w:w="407" w:type="dxa"/>
          <w:trHeight w:val="840" w:hRule="atLeast"/>
        </w:trPr>
        <w:tc>
          <w:tcPr>
            <w:tcW w:w="8516" w:type="dxa"/>
            <w:gridSpan w:val="16"/>
            <w:tcBorders>
              <w:top w:val="nil"/>
              <w:left w:val="nil"/>
              <w:bottom w:val="nil"/>
              <w:right w:val="nil"/>
            </w:tcBorders>
            <w:vAlign w:val="center"/>
          </w:tcPr>
          <w:p>
            <w:pPr>
              <w:spacing w:before="30"/>
              <w:rPr>
                <w:sz w:val="32"/>
              </w:rPr>
            </w:pPr>
            <w:bookmarkStart w:id="26" w:name="_Hlk46305179"/>
            <w:bookmarkStart w:id="27" w:name="OLE_LINK2"/>
            <w:bookmarkStart w:id="28" w:name="OLE_LINK1"/>
            <w:r>
              <w:rPr>
                <w:sz w:val="32"/>
              </w:rPr>
              <w:t xml:space="preserve">附录 </w:t>
            </w:r>
            <w:r>
              <w:rPr>
                <w:rFonts w:hint="eastAsia" w:ascii="Calibri"/>
                <w:sz w:val="32"/>
              </w:rPr>
              <w:t>4</w:t>
            </w:r>
            <w:r>
              <w:rPr>
                <w:sz w:val="32"/>
              </w:rPr>
              <w:t>：专业人才培养方案变更审批表</w:t>
            </w:r>
          </w:p>
          <w:p>
            <w:pPr>
              <w:widowControl/>
              <w:jc w:val="center"/>
              <w:rPr>
                <w:rFonts w:ascii="黑体" w:hAnsi="黑体" w:eastAsia="黑体"/>
                <w:color w:val="000000"/>
                <w:sz w:val="36"/>
                <w:szCs w:val="36"/>
              </w:rPr>
            </w:pPr>
            <w:r>
              <w:rPr>
                <w:rFonts w:hint="eastAsia" w:ascii="微软雅黑" w:hAnsi="微软雅黑" w:eastAsia="微软雅黑"/>
                <w:color w:val="000000"/>
                <w:sz w:val="32"/>
                <w:szCs w:val="32"/>
              </w:rPr>
              <w:t>附表四：</w:t>
            </w:r>
            <w:r>
              <w:rPr>
                <w:rFonts w:hint="eastAsia" w:ascii="黑体" w:hAnsi="黑体" w:eastAsia="黑体"/>
                <w:color w:val="000000"/>
                <w:sz w:val="36"/>
                <w:szCs w:val="36"/>
              </w:rPr>
              <w:t>南通职业大学人才培养方案变更审批表</w:t>
            </w:r>
            <w:bookmarkEnd w:id="26"/>
          </w:p>
        </w:tc>
        <w:tc>
          <w:tcPr>
            <w:tcW w:w="574" w:type="dxa"/>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rPr>
            </w:pPr>
            <w:r>
              <w:rPr>
                <w:rFonts w:hint="eastAsia"/>
                <w:color w:val="000000"/>
              </w:rPr>
              <w:t>院部</w:t>
            </w:r>
          </w:p>
        </w:tc>
        <w:tc>
          <w:tcPr>
            <w:tcW w:w="1985" w:type="dxa"/>
            <w:gridSpan w:val="5"/>
            <w:tcBorders>
              <w:top w:val="single" w:color="000000" w:sz="8" w:space="0"/>
              <w:left w:val="single" w:color="000000" w:sz="4" w:space="0"/>
              <w:bottom w:val="single" w:color="000000" w:sz="4" w:space="0"/>
              <w:right w:val="single" w:color="000000" w:sz="4" w:space="0"/>
            </w:tcBorders>
            <w:vAlign w:val="center"/>
          </w:tcPr>
          <w:p>
            <w:pPr>
              <w:widowControl/>
              <w:jc w:val="center"/>
              <w:rPr>
                <w:color w:val="000000"/>
              </w:rPr>
            </w:pPr>
          </w:p>
        </w:tc>
        <w:tc>
          <w:tcPr>
            <w:tcW w:w="850" w:type="dxa"/>
            <w:gridSpan w:val="2"/>
            <w:tcBorders>
              <w:top w:val="single" w:color="000000" w:sz="8"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生源</w:t>
            </w:r>
          </w:p>
          <w:p>
            <w:pPr>
              <w:widowControl/>
              <w:jc w:val="center"/>
              <w:rPr>
                <w:color w:val="000000"/>
              </w:rPr>
            </w:pPr>
            <w:r>
              <w:rPr>
                <w:rFonts w:hint="eastAsia"/>
                <w:color w:val="000000"/>
              </w:rPr>
              <w:t>类别</w:t>
            </w:r>
          </w:p>
        </w:tc>
        <w:tc>
          <w:tcPr>
            <w:tcW w:w="3827" w:type="dxa"/>
            <w:gridSpan w:val="7"/>
            <w:tcBorders>
              <w:top w:val="single" w:color="000000" w:sz="8" w:space="0"/>
              <w:left w:val="single" w:color="000000" w:sz="4" w:space="0"/>
              <w:bottom w:val="single" w:color="000000" w:sz="4" w:space="0"/>
              <w:right w:val="single" w:color="000000" w:sz="8" w:space="0"/>
            </w:tcBorders>
            <w:vAlign w:val="center"/>
          </w:tcPr>
          <w:p>
            <w:pPr>
              <w:widowControl/>
              <w:jc w:val="center"/>
              <w:rPr>
                <w:color w:val="000000"/>
              </w:rPr>
            </w:pPr>
          </w:p>
        </w:tc>
        <w:tc>
          <w:tcPr>
            <w:tcW w:w="574" w:type="dxa"/>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4" w:space="0"/>
              <w:left w:val="single" w:color="000000" w:sz="8" w:space="0"/>
              <w:bottom w:val="single" w:color="000000" w:sz="8" w:space="0"/>
              <w:right w:val="single" w:color="000000" w:sz="4" w:space="0"/>
            </w:tcBorders>
            <w:vAlign w:val="center"/>
          </w:tcPr>
          <w:p>
            <w:pPr>
              <w:widowControl/>
              <w:jc w:val="center"/>
              <w:rPr>
                <w:color w:val="000000"/>
              </w:rPr>
            </w:pPr>
            <w:r>
              <w:rPr>
                <w:rFonts w:hint="eastAsia"/>
                <w:color w:val="000000"/>
              </w:rPr>
              <w:t>专业名称</w:t>
            </w:r>
          </w:p>
        </w:tc>
        <w:tc>
          <w:tcPr>
            <w:tcW w:w="1985" w:type="dxa"/>
            <w:gridSpan w:val="5"/>
            <w:tcBorders>
              <w:top w:val="single" w:color="000000" w:sz="4" w:space="0"/>
              <w:left w:val="single" w:color="000000" w:sz="4" w:space="0"/>
              <w:bottom w:val="single" w:color="000000" w:sz="8" w:space="0"/>
              <w:right w:val="single" w:color="000000" w:sz="4" w:space="0"/>
            </w:tcBorders>
            <w:vAlign w:val="center"/>
          </w:tcPr>
          <w:p>
            <w:pPr>
              <w:widowControl/>
              <w:jc w:val="center"/>
              <w:rPr>
                <w:color w:val="000000"/>
              </w:rPr>
            </w:pPr>
          </w:p>
        </w:tc>
        <w:tc>
          <w:tcPr>
            <w:tcW w:w="850" w:type="dxa"/>
            <w:gridSpan w:val="2"/>
            <w:tcBorders>
              <w:top w:val="single" w:color="000000" w:sz="4" w:space="0"/>
              <w:left w:val="single" w:color="000000" w:sz="4" w:space="0"/>
              <w:bottom w:val="single" w:color="000000" w:sz="8" w:space="0"/>
              <w:right w:val="single" w:color="000000" w:sz="4" w:space="0"/>
            </w:tcBorders>
            <w:vAlign w:val="center"/>
          </w:tcPr>
          <w:p>
            <w:pPr>
              <w:widowControl/>
              <w:jc w:val="center"/>
              <w:rPr>
                <w:color w:val="000000"/>
              </w:rPr>
            </w:pPr>
            <w:r>
              <w:rPr>
                <w:rFonts w:hint="eastAsia"/>
                <w:color w:val="000000"/>
              </w:rPr>
              <w:t>专业</w:t>
            </w:r>
          </w:p>
          <w:p>
            <w:pPr>
              <w:widowControl/>
              <w:jc w:val="center"/>
              <w:rPr>
                <w:color w:val="000000"/>
              </w:rPr>
            </w:pPr>
            <w:r>
              <w:rPr>
                <w:rFonts w:hint="eastAsia"/>
                <w:color w:val="000000"/>
              </w:rPr>
              <w:t>负责人</w:t>
            </w:r>
          </w:p>
        </w:tc>
        <w:tc>
          <w:tcPr>
            <w:tcW w:w="3827" w:type="dxa"/>
            <w:gridSpan w:val="7"/>
            <w:tcBorders>
              <w:top w:val="single" w:color="000000" w:sz="4" w:space="0"/>
              <w:left w:val="single" w:color="000000" w:sz="4" w:space="0"/>
              <w:bottom w:val="single" w:color="000000" w:sz="8" w:space="0"/>
              <w:right w:val="single" w:color="000000" w:sz="8" w:space="0"/>
            </w:tcBorders>
            <w:vAlign w:val="center"/>
          </w:tcPr>
          <w:p>
            <w:pPr>
              <w:widowControl/>
              <w:jc w:val="left"/>
              <w:rPr>
                <w:color w:val="000000"/>
              </w:rPr>
            </w:pPr>
          </w:p>
        </w:tc>
        <w:tc>
          <w:tcPr>
            <w:tcW w:w="574" w:type="dxa"/>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gridAfter w:val="1"/>
          <w:wAfter w:w="407" w:type="dxa"/>
          <w:trHeight w:val="420" w:hRule="atLeast"/>
        </w:trPr>
        <w:tc>
          <w:tcPr>
            <w:tcW w:w="1854" w:type="dxa"/>
            <w:gridSpan w:val="2"/>
            <w:vMerge w:val="restart"/>
            <w:tcBorders>
              <w:top w:val="nil"/>
              <w:left w:val="single" w:color="000000" w:sz="8" w:space="0"/>
              <w:bottom w:val="single" w:color="000000" w:sz="4" w:space="0"/>
              <w:right w:val="single" w:color="000000" w:sz="4" w:space="0"/>
            </w:tcBorders>
            <w:vAlign w:val="center"/>
          </w:tcPr>
          <w:p>
            <w:pPr>
              <w:widowControl/>
              <w:jc w:val="center"/>
              <w:rPr>
                <w:color w:val="000000"/>
              </w:rPr>
            </w:pPr>
            <w:r>
              <w:rPr>
                <w:rFonts w:hint="eastAsia"/>
                <w:color w:val="000000"/>
              </w:rPr>
              <w:t>课程名称</w:t>
            </w:r>
          </w:p>
        </w:tc>
        <w:tc>
          <w:tcPr>
            <w:tcW w:w="2835" w:type="dxa"/>
            <w:gridSpan w:val="7"/>
            <w:tcBorders>
              <w:top w:val="nil"/>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原方案</w:t>
            </w:r>
          </w:p>
        </w:tc>
        <w:tc>
          <w:tcPr>
            <w:tcW w:w="2835" w:type="dxa"/>
            <w:gridSpan w:val="6"/>
            <w:tcBorders>
              <w:top w:val="nil"/>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变更后</w:t>
            </w:r>
          </w:p>
        </w:tc>
        <w:tc>
          <w:tcPr>
            <w:tcW w:w="992" w:type="dxa"/>
            <w:tcBorders>
              <w:top w:val="nil"/>
              <w:left w:val="single" w:color="000000" w:sz="4" w:space="0"/>
              <w:bottom w:val="single" w:color="000000" w:sz="4" w:space="0"/>
              <w:right w:val="single" w:color="000000" w:sz="8" w:space="0"/>
            </w:tcBorders>
            <w:vAlign w:val="center"/>
          </w:tcPr>
          <w:p>
            <w:pPr>
              <w:widowControl/>
              <w:jc w:val="center"/>
              <w:rPr>
                <w:color w:val="000000"/>
              </w:rPr>
            </w:pPr>
            <w:r>
              <w:rPr>
                <w:rFonts w:hint="eastAsia"/>
                <w:color w:val="000000"/>
              </w:rPr>
              <w:t>备注</w:t>
            </w:r>
          </w:p>
        </w:tc>
        <w:tc>
          <w:tcPr>
            <w:tcW w:w="574" w:type="dxa"/>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660" w:hRule="atLeast"/>
        </w:trPr>
        <w:tc>
          <w:tcPr>
            <w:tcW w:w="1854" w:type="dxa"/>
            <w:gridSpan w:val="2"/>
            <w:vMerge w:val="continue"/>
            <w:tcBorders>
              <w:top w:val="nil"/>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rPr>
                <w:color w:val="000000"/>
              </w:rPr>
            </w:pPr>
            <w:r>
              <w:rPr>
                <w:color w:val="000000"/>
              </w:rPr>
              <w:t>实践</w:t>
            </w: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考试考查</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r>
              <w:rPr>
                <w:color w:val="000000"/>
              </w:rPr>
              <w:t>实践</w:t>
            </w: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考试考查</w:t>
            </w:r>
          </w:p>
        </w:tc>
        <w:tc>
          <w:tcPr>
            <w:tcW w:w="992" w:type="dxa"/>
            <w:tcBorders>
              <w:top w:val="nil"/>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gridAfter w:val="1"/>
          <w:wAfter w:w="407" w:type="dxa"/>
          <w:trHeight w:val="2115" w:hRule="atLeast"/>
        </w:trPr>
        <w:tc>
          <w:tcPr>
            <w:tcW w:w="8516" w:type="dxa"/>
            <w:gridSpan w:val="16"/>
            <w:tcBorders>
              <w:top w:val="nil"/>
              <w:left w:val="single" w:color="000000" w:sz="8" w:space="0"/>
              <w:bottom w:val="nil"/>
              <w:right w:val="single" w:color="000000" w:sz="8" w:space="0"/>
            </w:tcBorders>
          </w:tcPr>
          <w:p>
            <w:pPr>
              <w:widowControl/>
              <w:jc w:val="left"/>
              <w:rPr>
                <w:color w:val="000000"/>
                <w:sz w:val="22"/>
              </w:rPr>
            </w:pPr>
            <w:r>
              <w:rPr>
                <w:rFonts w:hint="eastAsia"/>
                <w:color w:val="000000"/>
                <w:sz w:val="22"/>
              </w:rPr>
              <w:t>变更原因：</w:t>
            </w:r>
          </w:p>
        </w:tc>
        <w:tc>
          <w:tcPr>
            <w:tcW w:w="574" w:type="dxa"/>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gridAfter w:val="1"/>
          <w:wAfter w:w="407" w:type="dxa"/>
          <w:trHeight w:val="510" w:hRule="atLeast"/>
        </w:trPr>
        <w:tc>
          <w:tcPr>
            <w:tcW w:w="8516" w:type="dxa"/>
            <w:gridSpan w:val="16"/>
            <w:tcBorders>
              <w:top w:val="nil"/>
              <w:left w:val="single" w:color="000000" w:sz="8" w:space="0"/>
              <w:bottom w:val="nil"/>
              <w:right w:val="single" w:color="000000" w:sz="8" w:space="0"/>
            </w:tcBorders>
            <w:vAlign w:val="center"/>
          </w:tcPr>
          <w:p>
            <w:pPr>
              <w:widowControl/>
              <w:jc w:val="center"/>
              <w:rPr>
                <w:color w:val="000000"/>
                <w:sz w:val="22"/>
              </w:rPr>
            </w:pPr>
            <w:r>
              <w:rPr>
                <w:rFonts w:hint="eastAsia"/>
                <w:color w:val="000000"/>
                <w:sz w:val="22"/>
              </w:rPr>
              <w:t xml:space="preserve">                    学院院长签字：</w:t>
            </w:r>
          </w:p>
        </w:tc>
        <w:tc>
          <w:tcPr>
            <w:tcW w:w="574" w:type="dxa"/>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gridAfter w:val="1"/>
          <w:wAfter w:w="407" w:type="dxa"/>
          <w:trHeight w:val="85" w:hRule="atLeast"/>
        </w:trPr>
        <w:tc>
          <w:tcPr>
            <w:tcW w:w="8516" w:type="dxa"/>
            <w:gridSpan w:val="16"/>
            <w:tcBorders>
              <w:top w:val="nil"/>
              <w:left w:val="single" w:color="000000" w:sz="8" w:space="0"/>
              <w:bottom w:val="single" w:color="000000" w:sz="8" w:space="0"/>
              <w:right w:val="single" w:color="000000" w:sz="8" w:space="0"/>
            </w:tcBorders>
            <w:vAlign w:val="center"/>
          </w:tcPr>
          <w:p>
            <w:pPr>
              <w:widowControl/>
              <w:jc w:val="center"/>
              <w:rPr>
                <w:color w:val="000000"/>
                <w:sz w:val="22"/>
              </w:rPr>
            </w:pPr>
            <w:r>
              <w:rPr>
                <w:rFonts w:hint="eastAsia"/>
                <w:color w:val="000000"/>
                <w:sz w:val="22"/>
              </w:rPr>
              <w:t xml:space="preserve">                               年    月    日</w:t>
            </w:r>
          </w:p>
        </w:tc>
        <w:tc>
          <w:tcPr>
            <w:tcW w:w="574" w:type="dxa"/>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gridAfter w:val="1"/>
          <w:wAfter w:w="407" w:type="dxa"/>
          <w:trHeight w:val="1112" w:hRule="atLeast"/>
        </w:trPr>
        <w:tc>
          <w:tcPr>
            <w:tcW w:w="1087" w:type="dxa"/>
            <w:tcBorders>
              <w:top w:val="nil"/>
              <w:left w:val="single" w:color="000000" w:sz="8" w:space="0"/>
              <w:bottom w:val="single" w:color="000000" w:sz="8" w:space="0"/>
              <w:right w:val="single" w:color="000000" w:sz="8" w:space="0"/>
            </w:tcBorders>
            <w:vAlign w:val="center"/>
          </w:tcPr>
          <w:p>
            <w:pPr>
              <w:widowControl/>
              <w:jc w:val="center"/>
              <w:rPr>
                <w:color w:val="000000"/>
                <w:sz w:val="24"/>
                <w:szCs w:val="24"/>
              </w:rPr>
            </w:pPr>
            <w:r>
              <w:rPr>
                <w:rFonts w:hint="eastAsia"/>
                <w:color w:val="000000"/>
                <w:sz w:val="24"/>
                <w:szCs w:val="24"/>
              </w:rPr>
              <w:t>教务处负责人意见</w:t>
            </w:r>
          </w:p>
        </w:tc>
        <w:tc>
          <w:tcPr>
            <w:tcW w:w="7429" w:type="dxa"/>
            <w:gridSpan w:val="15"/>
            <w:tcBorders>
              <w:top w:val="nil"/>
              <w:left w:val="nil"/>
              <w:bottom w:val="single" w:color="000000" w:sz="8" w:space="0"/>
              <w:right w:val="single" w:color="000000" w:sz="4" w:space="0"/>
            </w:tcBorders>
            <w:vAlign w:val="center"/>
          </w:tcPr>
          <w:p>
            <w:pPr>
              <w:widowControl/>
              <w:jc w:val="left"/>
              <w:rPr>
                <w:color w:val="000000"/>
                <w:sz w:val="22"/>
              </w:rPr>
            </w:pPr>
          </w:p>
        </w:tc>
        <w:tc>
          <w:tcPr>
            <w:tcW w:w="574" w:type="dxa"/>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gridAfter w:val="1"/>
          <w:wAfter w:w="407" w:type="dxa"/>
          <w:trHeight w:val="973" w:hRule="atLeast"/>
        </w:trPr>
        <w:tc>
          <w:tcPr>
            <w:tcW w:w="1087" w:type="dxa"/>
            <w:tcBorders>
              <w:top w:val="single" w:color="000000" w:sz="8" w:space="0"/>
              <w:left w:val="single" w:color="000000" w:sz="8" w:space="0"/>
              <w:bottom w:val="single" w:color="000000" w:sz="8" w:space="0"/>
              <w:right w:val="single" w:color="000000" w:sz="8" w:space="0"/>
            </w:tcBorders>
            <w:vAlign w:val="center"/>
          </w:tcPr>
          <w:p>
            <w:pPr>
              <w:widowControl/>
              <w:jc w:val="center"/>
              <w:rPr>
                <w:color w:val="000000"/>
                <w:sz w:val="24"/>
                <w:szCs w:val="24"/>
              </w:rPr>
            </w:pPr>
            <w:r>
              <w:rPr>
                <w:rFonts w:hint="eastAsia"/>
                <w:color w:val="000000"/>
                <w:sz w:val="24"/>
                <w:szCs w:val="24"/>
              </w:rPr>
              <w:t>分管校长意见</w:t>
            </w:r>
          </w:p>
        </w:tc>
        <w:tc>
          <w:tcPr>
            <w:tcW w:w="7429" w:type="dxa"/>
            <w:gridSpan w:val="15"/>
            <w:tcBorders>
              <w:top w:val="single" w:color="000000" w:sz="8" w:space="0"/>
              <w:left w:val="nil"/>
              <w:bottom w:val="single" w:color="000000" w:sz="8" w:space="0"/>
              <w:right w:val="single" w:color="000000" w:sz="4" w:space="0"/>
            </w:tcBorders>
            <w:vAlign w:val="center"/>
          </w:tcPr>
          <w:p>
            <w:pPr>
              <w:widowControl/>
              <w:jc w:val="left"/>
              <w:rPr>
                <w:color w:val="000000"/>
                <w:sz w:val="22"/>
              </w:rPr>
            </w:pPr>
          </w:p>
        </w:tc>
        <w:tc>
          <w:tcPr>
            <w:tcW w:w="574" w:type="dxa"/>
            <w:tcBorders>
              <w:top w:val="nil"/>
              <w:left w:val="nil"/>
              <w:bottom w:val="nil"/>
              <w:right w:val="nil"/>
            </w:tcBorders>
            <w:vAlign w:val="center"/>
          </w:tcPr>
          <w:p>
            <w:pPr>
              <w:widowControl/>
              <w:jc w:val="left"/>
              <w:rPr>
                <w:color w:val="000000"/>
                <w:sz w:val="22"/>
              </w:rPr>
            </w:pPr>
          </w:p>
        </w:tc>
      </w:tr>
    </w:tbl>
    <w:p>
      <w:pPr>
        <w:rPr>
          <w:bCs/>
          <w:sz w:val="24"/>
        </w:rPr>
      </w:pPr>
      <w:r>
        <w:rPr>
          <w:rFonts w:hint="eastAsia"/>
        </w:rPr>
        <w:t>说明：此表须在教学任务下达后，未编排课表前交到教务处。</w:t>
      </w:r>
      <w:bookmarkEnd w:id="27"/>
      <w:bookmarkEnd w:id="28"/>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Dialog">
    <w:altName w:val="DejaVu Sans"/>
    <w:panose1 w:val="00000000000000000000"/>
    <w:charset w:val="86"/>
    <w:family w:val="auto"/>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Liberation Serif">
    <w:panose1 w:val="02020603050405020304"/>
    <w:charset w:val="00"/>
    <w:family w:val="auto"/>
    <w:pitch w:val="default"/>
    <w:sig w:usb0="A00002AF" w:usb1="500078FB" w:usb2="00000000" w:usb3="00000000" w:csb0="6000009F" w:csb1="DFD7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6"/>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D78C2"/>
    <w:multiLevelType w:val="singleLevel"/>
    <w:tmpl w:val="F7BD78C2"/>
    <w:lvl w:ilvl="0" w:tentative="0">
      <w:start w:val="2"/>
      <w:numFmt w:val="decimal"/>
      <w:lvlText w:val="%1."/>
      <w:lvlJc w:val="left"/>
      <w:pPr>
        <w:tabs>
          <w:tab w:val="left" w:pos="312"/>
        </w:tabs>
      </w:pPr>
    </w:lvl>
  </w:abstractNum>
  <w:abstractNum w:abstractNumId="1">
    <w:nsid w:val="08A06BC8"/>
    <w:multiLevelType w:val="singleLevel"/>
    <w:tmpl w:val="08A06BC8"/>
    <w:lvl w:ilvl="0" w:tentative="0">
      <w:start w:val="7"/>
      <w:numFmt w:val="chineseCounting"/>
      <w:suff w:val="nothing"/>
      <w:lvlText w:val="%1、"/>
      <w:lvlJc w:val="left"/>
      <w:rPr>
        <w:rFonts w:hint="eastAsia"/>
      </w:rPr>
    </w:lvl>
  </w:abstractNum>
  <w:abstractNum w:abstractNumId="2">
    <w:nsid w:val="308C5D69"/>
    <w:multiLevelType w:val="singleLevel"/>
    <w:tmpl w:val="308C5D69"/>
    <w:lvl w:ilvl="0" w:tentative="0">
      <w:start w:val="2"/>
      <w:numFmt w:val="chineseCounting"/>
      <w:suff w:val="nothing"/>
      <w:lvlText w:val="（%1）"/>
      <w:lvlJc w:val="left"/>
      <w:rPr>
        <w:rFonts w:hint="eastAsia"/>
      </w:rPr>
    </w:lvl>
  </w:abstractNum>
  <w:abstractNum w:abstractNumId="3">
    <w:nsid w:val="5F3B8879"/>
    <w:multiLevelType w:val="multilevel"/>
    <w:tmpl w:val="5F3B8879"/>
    <w:lvl w:ilvl="0" w:tentative="0">
      <w:start w:val="0"/>
      <w:numFmt w:val="bullet"/>
      <w:lvlText w:val="◇"/>
      <w:lvlJc w:val="left"/>
      <w:pPr>
        <w:ind w:left="283"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4">
    <w:nsid w:val="5F3B8884"/>
    <w:multiLevelType w:val="multilevel"/>
    <w:tmpl w:val="5F3B8884"/>
    <w:lvl w:ilvl="0" w:tentative="0">
      <w:start w:val="0"/>
      <w:numFmt w:val="bullet"/>
      <w:lvlText w:val="◇"/>
      <w:lvlJc w:val="left"/>
      <w:pPr>
        <w:ind w:left="285"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5">
    <w:nsid w:val="5F3B888F"/>
    <w:multiLevelType w:val="multilevel"/>
    <w:tmpl w:val="5F3B888F"/>
    <w:lvl w:ilvl="0" w:tentative="0">
      <w:start w:val="0"/>
      <w:numFmt w:val="bullet"/>
      <w:lvlText w:val="◇"/>
      <w:lvlJc w:val="left"/>
      <w:pPr>
        <w:ind w:left="285"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6">
    <w:nsid w:val="5F3B889A"/>
    <w:multiLevelType w:val="multilevel"/>
    <w:tmpl w:val="5F3B889A"/>
    <w:lvl w:ilvl="0" w:tentative="0">
      <w:start w:val="1"/>
      <w:numFmt w:val="decimal"/>
      <w:lvlText w:val="%1."/>
      <w:lvlJc w:val="left"/>
      <w:pPr>
        <w:ind w:left="365" w:hanging="267"/>
      </w:pPr>
      <w:rPr>
        <w:rFonts w:hint="default" w:ascii="Calibri" w:hAnsi="Calibri" w:eastAsia="Calibri" w:cs="Calibri"/>
        <w:b/>
        <w:bCs/>
        <w:spacing w:val="-1"/>
        <w:w w:val="99"/>
        <w:sz w:val="21"/>
        <w:szCs w:val="21"/>
        <w:lang w:val="en-US" w:eastAsia="zh-CN" w:bidi="ar-SA"/>
      </w:rPr>
    </w:lvl>
    <w:lvl w:ilvl="1" w:tentative="0">
      <w:start w:val="0"/>
      <w:numFmt w:val="bullet"/>
      <w:lvlText w:val="•"/>
      <w:lvlJc w:val="left"/>
      <w:pPr>
        <w:ind w:left="1769" w:hanging="267"/>
      </w:pPr>
      <w:rPr>
        <w:rFonts w:hint="default"/>
        <w:lang w:val="en-US" w:eastAsia="zh-CN" w:bidi="ar-SA"/>
      </w:rPr>
    </w:lvl>
    <w:lvl w:ilvl="2" w:tentative="0">
      <w:start w:val="0"/>
      <w:numFmt w:val="bullet"/>
      <w:lvlText w:val="•"/>
      <w:lvlJc w:val="left"/>
      <w:pPr>
        <w:ind w:left="3179" w:hanging="267"/>
      </w:pPr>
      <w:rPr>
        <w:rFonts w:hint="default"/>
        <w:lang w:val="en-US" w:eastAsia="zh-CN" w:bidi="ar-SA"/>
      </w:rPr>
    </w:lvl>
    <w:lvl w:ilvl="3" w:tentative="0">
      <w:start w:val="0"/>
      <w:numFmt w:val="bullet"/>
      <w:lvlText w:val="•"/>
      <w:lvlJc w:val="left"/>
      <w:pPr>
        <w:ind w:left="4589" w:hanging="267"/>
      </w:pPr>
      <w:rPr>
        <w:rFonts w:hint="default"/>
        <w:lang w:val="en-US" w:eastAsia="zh-CN" w:bidi="ar-SA"/>
      </w:rPr>
    </w:lvl>
    <w:lvl w:ilvl="4" w:tentative="0">
      <w:start w:val="0"/>
      <w:numFmt w:val="bullet"/>
      <w:lvlText w:val="•"/>
      <w:lvlJc w:val="left"/>
      <w:pPr>
        <w:ind w:left="5999" w:hanging="267"/>
      </w:pPr>
      <w:rPr>
        <w:rFonts w:hint="default"/>
        <w:lang w:val="en-US" w:eastAsia="zh-CN" w:bidi="ar-SA"/>
      </w:rPr>
    </w:lvl>
    <w:lvl w:ilvl="5" w:tentative="0">
      <w:start w:val="0"/>
      <w:numFmt w:val="bullet"/>
      <w:lvlText w:val="•"/>
      <w:lvlJc w:val="left"/>
      <w:pPr>
        <w:ind w:left="7409" w:hanging="267"/>
      </w:pPr>
      <w:rPr>
        <w:rFonts w:hint="default"/>
        <w:lang w:val="en-US" w:eastAsia="zh-CN" w:bidi="ar-SA"/>
      </w:rPr>
    </w:lvl>
    <w:lvl w:ilvl="6" w:tentative="0">
      <w:start w:val="0"/>
      <w:numFmt w:val="bullet"/>
      <w:lvlText w:val="•"/>
      <w:lvlJc w:val="left"/>
      <w:pPr>
        <w:ind w:left="8818" w:hanging="267"/>
      </w:pPr>
      <w:rPr>
        <w:rFonts w:hint="default"/>
        <w:lang w:val="en-US" w:eastAsia="zh-CN" w:bidi="ar-SA"/>
      </w:rPr>
    </w:lvl>
    <w:lvl w:ilvl="7" w:tentative="0">
      <w:start w:val="0"/>
      <w:numFmt w:val="bullet"/>
      <w:lvlText w:val="•"/>
      <w:lvlJc w:val="left"/>
      <w:pPr>
        <w:ind w:left="10228" w:hanging="267"/>
      </w:pPr>
      <w:rPr>
        <w:rFonts w:hint="default"/>
        <w:lang w:val="en-US" w:eastAsia="zh-CN" w:bidi="ar-SA"/>
      </w:rPr>
    </w:lvl>
    <w:lvl w:ilvl="8" w:tentative="0">
      <w:start w:val="0"/>
      <w:numFmt w:val="bullet"/>
      <w:lvlText w:val="•"/>
      <w:lvlJc w:val="left"/>
      <w:pPr>
        <w:ind w:left="11638" w:hanging="267"/>
      </w:pPr>
      <w:rPr>
        <w:rFonts w:hint="default"/>
        <w:lang w:val="en-US" w:eastAsia="zh-CN" w:bidi="ar-SA"/>
      </w:rPr>
    </w:lvl>
  </w:abstractNum>
  <w:abstractNum w:abstractNumId="7">
    <w:nsid w:val="69B94889"/>
    <w:multiLevelType w:val="singleLevel"/>
    <w:tmpl w:val="69B94889"/>
    <w:lvl w:ilvl="0" w:tentative="0">
      <w:start w:val="4"/>
      <w:numFmt w:val="chineseCounting"/>
      <w:suff w:val="nothing"/>
      <w:lvlText w:val="%1、"/>
      <w:lvlJc w:val="left"/>
      <w:rPr>
        <w:rFonts w:hint="eastAsia"/>
      </w:rPr>
    </w:lvl>
  </w:abstractNum>
  <w:num w:numId="1">
    <w:abstractNumId w:val="7"/>
  </w:num>
  <w:num w:numId="2">
    <w:abstractNumId w:val="1"/>
  </w:num>
  <w:num w:numId="3">
    <w:abstractNumId w:val="0"/>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19"/>
  <w:drawingGridHorizontalSpacing w:val="105"/>
  <w:drawingGridVerticalSpacing w:val="17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YTlhMDZmNDA4ZjIwMzk4ZTJjZTY2NDk5NjMxMjkifQ=="/>
  </w:docVars>
  <w:rsids>
    <w:rsidRoot w:val="00B956C2"/>
    <w:rsid w:val="000747E6"/>
    <w:rsid w:val="001B6A93"/>
    <w:rsid w:val="001F08FA"/>
    <w:rsid w:val="00200DEB"/>
    <w:rsid w:val="00234F59"/>
    <w:rsid w:val="0028604B"/>
    <w:rsid w:val="002C35B2"/>
    <w:rsid w:val="0031583B"/>
    <w:rsid w:val="00396B59"/>
    <w:rsid w:val="003A4934"/>
    <w:rsid w:val="00447B8F"/>
    <w:rsid w:val="00517F38"/>
    <w:rsid w:val="005760C6"/>
    <w:rsid w:val="00585E4D"/>
    <w:rsid w:val="005B621F"/>
    <w:rsid w:val="005E6F69"/>
    <w:rsid w:val="00641AE0"/>
    <w:rsid w:val="006B36A0"/>
    <w:rsid w:val="006C1BE2"/>
    <w:rsid w:val="006E2A7B"/>
    <w:rsid w:val="00717A87"/>
    <w:rsid w:val="007835F5"/>
    <w:rsid w:val="007A1658"/>
    <w:rsid w:val="007C612A"/>
    <w:rsid w:val="007D26D6"/>
    <w:rsid w:val="00841FDA"/>
    <w:rsid w:val="00843A63"/>
    <w:rsid w:val="008D6DFA"/>
    <w:rsid w:val="009F76E5"/>
    <w:rsid w:val="00AD6722"/>
    <w:rsid w:val="00B2637D"/>
    <w:rsid w:val="00B5025F"/>
    <w:rsid w:val="00B94462"/>
    <w:rsid w:val="00B956C2"/>
    <w:rsid w:val="00BC6CAA"/>
    <w:rsid w:val="00C06628"/>
    <w:rsid w:val="00C457B7"/>
    <w:rsid w:val="00CB33AC"/>
    <w:rsid w:val="00D730B4"/>
    <w:rsid w:val="00D817F9"/>
    <w:rsid w:val="00DD0A2F"/>
    <w:rsid w:val="00EB21C9"/>
    <w:rsid w:val="00EF42E5"/>
    <w:rsid w:val="00EF474B"/>
    <w:rsid w:val="00F120A5"/>
    <w:rsid w:val="00F4424E"/>
    <w:rsid w:val="00FB2691"/>
    <w:rsid w:val="01A87AFB"/>
    <w:rsid w:val="028B6095"/>
    <w:rsid w:val="02DF063D"/>
    <w:rsid w:val="039A53F9"/>
    <w:rsid w:val="03F86821"/>
    <w:rsid w:val="048A3B2B"/>
    <w:rsid w:val="04BD147E"/>
    <w:rsid w:val="05F5683E"/>
    <w:rsid w:val="07320848"/>
    <w:rsid w:val="07BA7D74"/>
    <w:rsid w:val="07D93F8C"/>
    <w:rsid w:val="0816695C"/>
    <w:rsid w:val="09977505"/>
    <w:rsid w:val="0A447E27"/>
    <w:rsid w:val="0CC31D75"/>
    <w:rsid w:val="0D96299F"/>
    <w:rsid w:val="0DDD03CD"/>
    <w:rsid w:val="0DDF2955"/>
    <w:rsid w:val="0EB758B2"/>
    <w:rsid w:val="0ED93D15"/>
    <w:rsid w:val="0EFD78B1"/>
    <w:rsid w:val="0FD90CA3"/>
    <w:rsid w:val="0FDF4DB3"/>
    <w:rsid w:val="100C4772"/>
    <w:rsid w:val="109C6BB3"/>
    <w:rsid w:val="117157E2"/>
    <w:rsid w:val="11BA6FAA"/>
    <w:rsid w:val="11FB0C0A"/>
    <w:rsid w:val="12D34C71"/>
    <w:rsid w:val="12FD38D4"/>
    <w:rsid w:val="13A93854"/>
    <w:rsid w:val="13AB39D3"/>
    <w:rsid w:val="15C51BE9"/>
    <w:rsid w:val="169111EB"/>
    <w:rsid w:val="179D6668"/>
    <w:rsid w:val="18290ABE"/>
    <w:rsid w:val="1A8A28DC"/>
    <w:rsid w:val="1B1C2E4B"/>
    <w:rsid w:val="1CFE73DA"/>
    <w:rsid w:val="1DA27A80"/>
    <w:rsid w:val="1FFB43D0"/>
    <w:rsid w:val="21535CD9"/>
    <w:rsid w:val="21A6520B"/>
    <w:rsid w:val="21C27F07"/>
    <w:rsid w:val="220A037D"/>
    <w:rsid w:val="22634062"/>
    <w:rsid w:val="24E456DB"/>
    <w:rsid w:val="24F61727"/>
    <w:rsid w:val="25457403"/>
    <w:rsid w:val="259B2085"/>
    <w:rsid w:val="259F40D9"/>
    <w:rsid w:val="25EE4BAB"/>
    <w:rsid w:val="26094BCF"/>
    <w:rsid w:val="2842576A"/>
    <w:rsid w:val="28446E7B"/>
    <w:rsid w:val="28D04C41"/>
    <w:rsid w:val="2AF524A2"/>
    <w:rsid w:val="2B431827"/>
    <w:rsid w:val="2B5F7978"/>
    <w:rsid w:val="2C3D711E"/>
    <w:rsid w:val="2C67359E"/>
    <w:rsid w:val="2CE32D7A"/>
    <w:rsid w:val="2E3671FC"/>
    <w:rsid w:val="2E8C61E8"/>
    <w:rsid w:val="2F12131A"/>
    <w:rsid w:val="300B6B83"/>
    <w:rsid w:val="313A18B5"/>
    <w:rsid w:val="31E77BBD"/>
    <w:rsid w:val="33097899"/>
    <w:rsid w:val="33967A74"/>
    <w:rsid w:val="339B599D"/>
    <w:rsid w:val="34023B6B"/>
    <w:rsid w:val="35F51EAD"/>
    <w:rsid w:val="38346BF5"/>
    <w:rsid w:val="39DB27E2"/>
    <w:rsid w:val="3A1D25D6"/>
    <w:rsid w:val="3ADA25CF"/>
    <w:rsid w:val="3B0546B9"/>
    <w:rsid w:val="3B9973F6"/>
    <w:rsid w:val="3BBC1F83"/>
    <w:rsid w:val="3BBC396C"/>
    <w:rsid w:val="3C77182B"/>
    <w:rsid w:val="3D8D2AFE"/>
    <w:rsid w:val="3E1673D7"/>
    <w:rsid w:val="3F844A38"/>
    <w:rsid w:val="3F9D6D2F"/>
    <w:rsid w:val="3FB53716"/>
    <w:rsid w:val="40602E25"/>
    <w:rsid w:val="40FB1054"/>
    <w:rsid w:val="4234565D"/>
    <w:rsid w:val="42445EE0"/>
    <w:rsid w:val="427E3A8D"/>
    <w:rsid w:val="42A667A5"/>
    <w:rsid w:val="42B47CD8"/>
    <w:rsid w:val="42CF5671"/>
    <w:rsid w:val="42DA1F85"/>
    <w:rsid w:val="43364280"/>
    <w:rsid w:val="43B30191"/>
    <w:rsid w:val="43E91473"/>
    <w:rsid w:val="441E0031"/>
    <w:rsid w:val="44515CAF"/>
    <w:rsid w:val="446979D4"/>
    <w:rsid w:val="44CC6B99"/>
    <w:rsid w:val="457B5864"/>
    <w:rsid w:val="465317DA"/>
    <w:rsid w:val="473F5909"/>
    <w:rsid w:val="47496293"/>
    <w:rsid w:val="47570E88"/>
    <w:rsid w:val="47767D65"/>
    <w:rsid w:val="47A0668A"/>
    <w:rsid w:val="47F97910"/>
    <w:rsid w:val="48114C41"/>
    <w:rsid w:val="49E67BB7"/>
    <w:rsid w:val="4B185D0B"/>
    <w:rsid w:val="4BB85ADB"/>
    <w:rsid w:val="4CC7012C"/>
    <w:rsid w:val="4D4140DD"/>
    <w:rsid w:val="4E1E7196"/>
    <w:rsid w:val="4EA01352"/>
    <w:rsid w:val="4F8D15E4"/>
    <w:rsid w:val="50881D9F"/>
    <w:rsid w:val="5096159B"/>
    <w:rsid w:val="522B7246"/>
    <w:rsid w:val="524300DE"/>
    <w:rsid w:val="54B55C45"/>
    <w:rsid w:val="55016C1A"/>
    <w:rsid w:val="564B3E69"/>
    <w:rsid w:val="56FD607A"/>
    <w:rsid w:val="57AC5520"/>
    <w:rsid w:val="57DC41C5"/>
    <w:rsid w:val="57FD6195"/>
    <w:rsid w:val="58CB06F4"/>
    <w:rsid w:val="58FE5F9D"/>
    <w:rsid w:val="5A047088"/>
    <w:rsid w:val="5A95752B"/>
    <w:rsid w:val="5BDC1CA6"/>
    <w:rsid w:val="5D116D59"/>
    <w:rsid w:val="5D3877DC"/>
    <w:rsid w:val="5E065585"/>
    <w:rsid w:val="5E41584A"/>
    <w:rsid w:val="5E602DFC"/>
    <w:rsid w:val="5ED03F9B"/>
    <w:rsid w:val="60397AB1"/>
    <w:rsid w:val="60EB070B"/>
    <w:rsid w:val="60F75A0B"/>
    <w:rsid w:val="61A15736"/>
    <w:rsid w:val="61A833E3"/>
    <w:rsid w:val="629879F7"/>
    <w:rsid w:val="6331648E"/>
    <w:rsid w:val="63335632"/>
    <w:rsid w:val="63D053D2"/>
    <w:rsid w:val="64761610"/>
    <w:rsid w:val="64AD5EA7"/>
    <w:rsid w:val="64C60FEB"/>
    <w:rsid w:val="6637235F"/>
    <w:rsid w:val="66ED38B3"/>
    <w:rsid w:val="67357155"/>
    <w:rsid w:val="673A6576"/>
    <w:rsid w:val="68594400"/>
    <w:rsid w:val="689966C1"/>
    <w:rsid w:val="6A3505DB"/>
    <w:rsid w:val="6B6F65FF"/>
    <w:rsid w:val="6BBB3446"/>
    <w:rsid w:val="6C432E94"/>
    <w:rsid w:val="6D123A97"/>
    <w:rsid w:val="6D543887"/>
    <w:rsid w:val="6D8161E5"/>
    <w:rsid w:val="6DF008F7"/>
    <w:rsid w:val="6F02283E"/>
    <w:rsid w:val="6F3631F8"/>
    <w:rsid w:val="6FF16AC6"/>
    <w:rsid w:val="70885FC4"/>
    <w:rsid w:val="709C4C75"/>
    <w:rsid w:val="71637D75"/>
    <w:rsid w:val="722B7797"/>
    <w:rsid w:val="72AB0F2F"/>
    <w:rsid w:val="72EF5318"/>
    <w:rsid w:val="72FE52EE"/>
    <w:rsid w:val="73240B7B"/>
    <w:rsid w:val="733D6061"/>
    <w:rsid w:val="744605F1"/>
    <w:rsid w:val="7610649B"/>
    <w:rsid w:val="76131D63"/>
    <w:rsid w:val="76A25999"/>
    <w:rsid w:val="76B92B26"/>
    <w:rsid w:val="786318C6"/>
    <w:rsid w:val="78A77EDA"/>
    <w:rsid w:val="79982312"/>
    <w:rsid w:val="7A51535C"/>
    <w:rsid w:val="7B77F9E9"/>
    <w:rsid w:val="7D0533DF"/>
    <w:rsid w:val="7D212D07"/>
    <w:rsid w:val="7E9F367A"/>
    <w:rsid w:val="7F4E37E8"/>
    <w:rsid w:val="7F880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Body Text Indent"/>
    <w:basedOn w:val="1"/>
    <w:qFormat/>
    <w:uiPriority w:val="0"/>
    <w:pPr>
      <w:ind w:firstLine="480" w:firstLineChars="200"/>
    </w:pPr>
    <w:rPr>
      <w:rFonts w:hAnsi="Times New Roman" w:cs="Times New Roman"/>
      <w:kern w:val="24"/>
      <w:sz w:val="24"/>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oc 1"/>
    <w:basedOn w:val="1"/>
    <w:next w:val="1"/>
    <w:semiHidden/>
    <w:qFormat/>
    <w:uiPriority w:val="0"/>
    <w:pPr>
      <w:spacing w:before="120" w:after="120"/>
      <w:jc w:val="left"/>
    </w:pPr>
    <w:rPr>
      <w:rFonts w:ascii="Times New Roman" w:hAnsi="Times New Roman" w:cs="Times New Roman"/>
      <w:b/>
      <w:bCs/>
      <w:caps/>
      <w:sz w:val="20"/>
      <w:szCs w:val="20"/>
    </w:rPr>
  </w:style>
  <w:style w:type="paragraph" w:styleId="9">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12"/>
    <w:link w:val="5"/>
    <w:semiHidden/>
    <w:qFormat/>
    <w:uiPriority w:val="99"/>
    <w:rPr>
      <w:rFonts w:ascii="Calibri" w:hAnsi="Calibri" w:eastAsia="宋体" w:cs="Times New Roman"/>
      <w:sz w:val="18"/>
      <w:szCs w:val="18"/>
    </w:rPr>
  </w:style>
  <w:style w:type="paragraph" w:customStyle="1" w:styleId="19">
    <w:name w:val="a1"/>
    <w:basedOn w:val="1"/>
    <w:qFormat/>
    <w:uiPriority w:val="0"/>
    <w:pPr>
      <w:widowControl/>
      <w:spacing w:before="100" w:beforeAutospacing="1" w:after="100" w:afterAutospacing="1"/>
      <w:jc w:val="left"/>
    </w:pPr>
    <w:rPr>
      <w:sz w:val="24"/>
      <w:szCs w:val="24"/>
    </w:rPr>
  </w:style>
  <w:style w:type="paragraph" w:customStyle="1" w:styleId="20">
    <w:name w:val="Table Paragraph"/>
    <w:basedOn w:val="1"/>
    <w:qFormat/>
    <w:uiPriority w:val="1"/>
    <w:pPr>
      <w:autoSpaceDE w:val="0"/>
      <w:autoSpaceDN w:val="0"/>
      <w:jc w:val="left"/>
    </w:pPr>
    <w:rPr>
      <w:rFonts w:ascii="华文细黑" w:hAnsi="华文细黑" w:eastAsia="华文细黑" w:cs="华文细黑"/>
      <w:sz w:val="22"/>
      <w:szCs w:val="22"/>
      <w:lang w:eastAsia="en-US"/>
    </w:rPr>
  </w:style>
  <w:style w:type="paragraph" w:customStyle="1" w:styleId="21">
    <w:name w:val="WPSOffice手动目录 1"/>
    <w:qFormat/>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12474</Words>
  <Characters>12941</Characters>
  <Lines>67</Lines>
  <Paragraphs>18</Paragraphs>
  <TotalTime>0</TotalTime>
  <ScaleCrop>false</ScaleCrop>
  <LinksUpToDate>false</LinksUpToDate>
  <CharactersWithSpaces>13035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2022-07-19T10:37:00Z</dcterms:created>
  <dc:creator>王璐</dc:creator>
  <cp:lastModifiedBy>ht706</cp:lastModifiedBy>
  <cp:lastPrinted>2024-04-15T11:12:00Z</cp:lastPrinted>
  <dcterms:modified xsi:type="dcterms:W3CDTF">2026-06-16T09:12:25Z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969C0B9D8591400C98BD3A67DF704EC2_13</vt:lpwstr>
  </property>
  <property fmtid="{D5CDD505-2E9C-101B-9397-08002B2CF9AE}" pid="4" name="KSOTemplateDocerSaveRecord">
    <vt:lpwstr>eyJoZGlkIjoiZWRlODg0NThjM2E2Y2VkZTRmYzBlMzg5OTVkNDZlYTIiLCJ1c2VySWQiOiI2OTg4ODI3NDYifQ==</vt:lpwstr>
  </property>
</Properties>
</file>